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FD825" w14:textId="5A752FF8" w:rsidR="00E24F81" w:rsidRPr="00DE6DF7" w:rsidRDefault="0066048F" w:rsidP="00BF4047">
      <w:pPr>
        <w:rPr>
          <w:b/>
          <w:sz w:val="28"/>
          <w:szCs w:val="28"/>
        </w:rPr>
      </w:pPr>
      <w:r w:rsidRPr="00DE6DF7">
        <w:rPr>
          <w:b/>
          <w:sz w:val="28"/>
          <w:szCs w:val="28"/>
        </w:rPr>
        <w:t>STANDARD I</w:t>
      </w:r>
      <w:r w:rsidR="00631686" w:rsidRPr="00DE6DF7">
        <w:rPr>
          <w:b/>
          <w:sz w:val="28"/>
          <w:szCs w:val="28"/>
        </w:rPr>
        <w:t xml:space="preserve">A: </w:t>
      </w:r>
      <w:r w:rsidR="00E24F81" w:rsidRPr="00DE6DF7">
        <w:rPr>
          <w:b/>
          <w:sz w:val="28"/>
          <w:szCs w:val="28"/>
        </w:rPr>
        <w:t>MISSION</w:t>
      </w:r>
    </w:p>
    <w:p w14:paraId="1013E334" w14:textId="77777777" w:rsidR="00E24F81" w:rsidRDefault="00E24F81" w:rsidP="00BF4047">
      <w:pPr>
        <w:rPr>
          <w:b/>
        </w:rPr>
      </w:pPr>
    </w:p>
    <w:p w14:paraId="65FFFA9C" w14:textId="107093DB" w:rsidR="00E24F81" w:rsidRDefault="005B6620" w:rsidP="00D91A62">
      <w:pPr>
        <w:keepNext/>
        <w:keepLines/>
        <w:rPr>
          <w:b/>
        </w:rPr>
      </w:pPr>
      <w:r>
        <w:rPr>
          <w:b/>
        </w:rPr>
        <w:t>IA.1</w:t>
      </w:r>
      <w:r>
        <w:rPr>
          <w:b/>
        </w:rPr>
        <w:tab/>
      </w:r>
      <w:r w:rsidR="00E24F81" w:rsidRPr="00DA6B3B">
        <w:rPr>
          <w:b/>
        </w:rPr>
        <w:t>The mission describes the institution’s broad educational purposes, its intended student population, the types of degrees and other credentials it offers, and its commitment to student learning and student achievement.</w:t>
      </w:r>
      <w:r w:rsidR="00DA24DF">
        <w:rPr>
          <w:b/>
        </w:rPr>
        <w:t xml:space="preserve"> </w:t>
      </w:r>
      <w:r w:rsidR="003F3C5A">
        <w:rPr>
          <w:b/>
        </w:rPr>
        <w:t xml:space="preserve"> </w:t>
      </w:r>
      <w:r w:rsidR="00DA24DF">
        <w:rPr>
          <w:b/>
        </w:rPr>
        <w:t>(ER 6)</w:t>
      </w:r>
    </w:p>
    <w:p w14:paraId="283E1FC5" w14:textId="77777777" w:rsidR="00E24F81" w:rsidRPr="00DA6B3B" w:rsidRDefault="00E24F81" w:rsidP="00D91A62">
      <w:pPr>
        <w:keepNext/>
        <w:rPr>
          <w:b/>
        </w:rPr>
      </w:pPr>
    </w:p>
    <w:p w14:paraId="72558E06" w14:textId="77777777" w:rsidR="00E24F81" w:rsidRPr="00A51C73" w:rsidRDefault="00E24F81" w:rsidP="00D91A62">
      <w:pPr>
        <w:keepNext/>
        <w:rPr>
          <w:b/>
          <w:i/>
          <w:u w:val="single"/>
        </w:rPr>
      </w:pPr>
      <w:r w:rsidRPr="00A51C73">
        <w:rPr>
          <w:b/>
          <w:i/>
          <w:u w:val="single"/>
        </w:rPr>
        <w:t>Evidence of Meeting the Standard</w:t>
      </w:r>
    </w:p>
    <w:p w14:paraId="573664A1" w14:textId="77777777" w:rsidR="00E24F81" w:rsidRPr="00BF4047" w:rsidRDefault="00E24F81" w:rsidP="006E4C54">
      <w:pPr>
        <w:keepNext/>
        <w:rPr>
          <w:b/>
          <w:u w:val="single"/>
        </w:rPr>
      </w:pPr>
    </w:p>
    <w:p w14:paraId="5CBF566B" w14:textId="726B11BF" w:rsidR="00E24F81" w:rsidRDefault="00E24F81" w:rsidP="00D91A62">
      <w:pPr>
        <w:rPr>
          <w:bCs/>
        </w:rPr>
      </w:pPr>
      <w:r w:rsidRPr="00EA173A">
        <w:t>Santa Monica</w:t>
      </w:r>
      <w:r>
        <w:t xml:space="preserve"> </w:t>
      </w:r>
      <w:r w:rsidRPr="00EA173A">
        <w:t>College</w:t>
      </w:r>
      <w:r w:rsidR="0066048F">
        <w:t xml:space="preserve"> articulates a M</w:t>
      </w:r>
      <w:r w:rsidRPr="00EA173A">
        <w:t>ission statement</w:t>
      </w:r>
      <w:r>
        <w:t xml:space="preserve"> informed by the core</w:t>
      </w:r>
      <w:r w:rsidRPr="00EA173A">
        <w:t xml:space="preserve"> values</w:t>
      </w:r>
      <w:r>
        <w:t xml:space="preserve"> described in the institutional Vision.  The Mission</w:t>
      </w:r>
      <w:r w:rsidR="00171771">
        <w:t xml:space="preserve"> defines the </w:t>
      </w:r>
      <w:r w:rsidR="0066048F">
        <w:t>purposes of the C</w:t>
      </w:r>
      <w:r w:rsidRPr="00EA173A">
        <w:t>ollege, identifies the student population it serves, and conveys a strong commitment to advancing stu</w:t>
      </w:r>
      <w:r>
        <w:t xml:space="preserve">dent learning and achievement.  </w:t>
      </w:r>
    </w:p>
    <w:p w14:paraId="33633039" w14:textId="77777777" w:rsidR="00E24F81" w:rsidRDefault="00E24F81" w:rsidP="001D0003">
      <w:pPr>
        <w:rPr>
          <w:bCs/>
        </w:rPr>
      </w:pPr>
    </w:p>
    <w:p w14:paraId="7161E920" w14:textId="55FD4EE3" w:rsidR="00E24F81" w:rsidRDefault="00E24F81" w:rsidP="0066048F">
      <w:pPr>
        <w:pBdr>
          <w:top w:val="single" w:sz="4" w:space="1" w:color="auto"/>
          <w:left w:val="single" w:sz="4" w:space="1" w:color="auto"/>
          <w:bottom w:val="single" w:sz="4" w:space="1" w:color="auto"/>
          <w:right w:val="single" w:sz="4" w:space="1" w:color="auto"/>
        </w:pBdr>
        <w:rPr>
          <w:i/>
        </w:rPr>
      </w:pPr>
      <w:r w:rsidRPr="00EA173A">
        <w:rPr>
          <w:b/>
          <w:bCs/>
        </w:rPr>
        <w:t>Vision</w:t>
      </w:r>
      <w:r w:rsidRPr="00A561F9">
        <w:rPr>
          <w:b/>
          <w:bCs/>
          <w:i/>
        </w:rPr>
        <w:t>:</w:t>
      </w:r>
      <w:r>
        <w:rPr>
          <w:b/>
          <w:bCs/>
          <w:i/>
        </w:rPr>
        <w:t xml:space="preserve"> </w:t>
      </w:r>
      <w:r w:rsidRPr="00A561F9">
        <w:rPr>
          <w:i/>
        </w:rPr>
        <w:t>Santa Monica</w:t>
      </w:r>
      <w:r>
        <w:rPr>
          <w:i/>
        </w:rPr>
        <w:t xml:space="preserve"> </w:t>
      </w:r>
      <w:r w:rsidRPr="00A561F9">
        <w:rPr>
          <w:i/>
        </w:rPr>
        <w:t>College will be a leader and innovat</w:t>
      </w:r>
      <w:r w:rsidR="000C0A06">
        <w:rPr>
          <w:i/>
        </w:rPr>
        <w:t>or in learning and a</w:t>
      </w:r>
      <w:r>
        <w:rPr>
          <w:i/>
        </w:rPr>
        <w:t xml:space="preserve">chievement.  </w:t>
      </w:r>
      <w:r w:rsidRPr="00A561F9">
        <w:rPr>
          <w:i/>
        </w:rPr>
        <w:t>As a community committed to open dialog and the free exchange of ideas,</w:t>
      </w:r>
      <w:r w:rsidR="000C0A06">
        <w:rPr>
          <w:i/>
        </w:rPr>
        <w:t xml:space="preserve"> </w:t>
      </w:r>
      <w:r w:rsidRPr="00A561F9">
        <w:rPr>
          <w:i/>
        </w:rPr>
        <w:t>Santa Monica College will foster its core values: knowledge, intellectual inquiry, research-based planning and evaluation, academic integrity, ethical behavior, democratic processes, communication and collegiality, global awareness, and sustainability.</w:t>
      </w:r>
    </w:p>
    <w:p w14:paraId="15F835B1" w14:textId="77777777" w:rsidR="0066048F" w:rsidRDefault="0066048F" w:rsidP="0066048F">
      <w:pPr>
        <w:pBdr>
          <w:top w:val="single" w:sz="4" w:space="1" w:color="auto"/>
          <w:left w:val="single" w:sz="4" w:space="1" w:color="auto"/>
          <w:bottom w:val="single" w:sz="4" w:space="1" w:color="auto"/>
          <w:right w:val="single" w:sz="4" w:space="1" w:color="auto"/>
        </w:pBdr>
        <w:rPr>
          <w:i/>
        </w:rPr>
      </w:pPr>
    </w:p>
    <w:p w14:paraId="55BD6C23" w14:textId="6E685A29" w:rsidR="0066048F" w:rsidRPr="0066048F" w:rsidRDefault="0066048F" w:rsidP="0066048F">
      <w:pPr>
        <w:pStyle w:val="NoSpacing"/>
        <w:pBdr>
          <w:top w:val="single" w:sz="4" w:space="1" w:color="auto"/>
          <w:left w:val="single" w:sz="4" w:space="1" w:color="auto"/>
          <w:bottom w:val="single" w:sz="4" w:space="1" w:color="auto"/>
          <w:right w:val="single" w:sz="4" w:space="1" w:color="auto"/>
        </w:pBdr>
        <w:rPr>
          <w:rStyle w:val="ms-rtefontsize-2"/>
          <w:rFonts w:ascii="Times New Roman" w:hAnsi="Times New Roman"/>
          <w:i/>
          <w:sz w:val="24"/>
          <w:szCs w:val="24"/>
          <w:lang w:val="en"/>
        </w:rPr>
      </w:pPr>
      <w:r w:rsidRPr="0066048F">
        <w:rPr>
          <w:rStyle w:val="ms-rtefontsize-2"/>
          <w:rFonts w:ascii="Times New Roman" w:hAnsi="Times New Roman"/>
          <w:b/>
          <w:sz w:val="24"/>
          <w:szCs w:val="24"/>
          <w:lang w:val="en"/>
        </w:rPr>
        <w:t>Mission:</w:t>
      </w:r>
      <w:r>
        <w:rPr>
          <w:rStyle w:val="ms-rtefontsize-2"/>
          <w:rFonts w:ascii="Times New Roman" w:hAnsi="Times New Roman"/>
          <w:sz w:val="24"/>
          <w:szCs w:val="24"/>
          <w:lang w:val="en"/>
        </w:rPr>
        <w:t xml:space="preserve"> </w:t>
      </w:r>
      <w:r w:rsidRPr="0066048F">
        <w:rPr>
          <w:rStyle w:val="ms-rtefontsize-2"/>
          <w:rFonts w:ascii="Times New Roman" w:hAnsi="Times New Roman"/>
          <w:i/>
          <w:sz w:val="24"/>
          <w:szCs w:val="24"/>
          <w:lang w:val="en"/>
        </w:rPr>
        <w:t xml:space="preserve">Santa Monica College provides a safe and inclusive learning environment that encourages personal and intellectual exploration, and challenges and supports students in achieving their educational goals. </w:t>
      </w:r>
      <w:r w:rsidR="005E4432">
        <w:rPr>
          <w:rStyle w:val="ms-rtefontsize-2"/>
          <w:rFonts w:ascii="Times New Roman" w:hAnsi="Times New Roman"/>
          <w:i/>
          <w:sz w:val="24"/>
          <w:szCs w:val="24"/>
          <w:lang w:val="en"/>
        </w:rPr>
        <w:t xml:space="preserve"> </w:t>
      </w:r>
      <w:r w:rsidRPr="0066048F">
        <w:rPr>
          <w:rStyle w:val="ms-rtefontsize-2"/>
          <w:rFonts w:ascii="Times New Roman" w:hAnsi="Times New Roman"/>
          <w:i/>
          <w:sz w:val="24"/>
          <w:szCs w:val="24"/>
          <w:lang w:val="en"/>
        </w:rPr>
        <w:t xml:space="preserve">Students learn to contribute to the global community as they develop an understanding of their relationship to diverse social, cultural, political, economic, technological, and natural environments. </w:t>
      </w:r>
      <w:r w:rsidR="005E4432">
        <w:rPr>
          <w:rStyle w:val="ms-rtefontsize-2"/>
          <w:rFonts w:ascii="Times New Roman" w:hAnsi="Times New Roman"/>
          <w:i/>
          <w:sz w:val="24"/>
          <w:szCs w:val="24"/>
          <w:lang w:val="en"/>
        </w:rPr>
        <w:t xml:space="preserve"> </w:t>
      </w:r>
      <w:r w:rsidRPr="0066048F">
        <w:rPr>
          <w:rStyle w:val="ms-rtefontsize-2"/>
          <w:rFonts w:ascii="Times New Roman" w:hAnsi="Times New Roman"/>
          <w:i/>
          <w:sz w:val="24"/>
          <w:szCs w:val="24"/>
          <w:lang w:val="en"/>
        </w:rPr>
        <w:t>The College recognizes the critical im</w:t>
      </w:r>
      <w:r w:rsidR="000C0A06">
        <w:rPr>
          <w:rStyle w:val="ms-rtefontsize-2"/>
          <w:rFonts w:ascii="Times New Roman" w:hAnsi="Times New Roman"/>
          <w:i/>
          <w:sz w:val="24"/>
          <w:szCs w:val="24"/>
          <w:lang w:val="en"/>
        </w:rPr>
        <w:t xml:space="preserve">portance of each </w:t>
      </w:r>
      <w:r w:rsidRPr="0066048F">
        <w:rPr>
          <w:rStyle w:val="ms-rtefontsize-2"/>
          <w:rFonts w:ascii="Times New Roman" w:hAnsi="Times New Roman"/>
          <w:i/>
          <w:sz w:val="24"/>
          <w:szCs w:val="24"/>
          <w:lang w:val="en"/>
        </w:rPr>
        <w:t>individual's contribution to the achievement of this mission.</w:t>
      </w:r>
    </w:p>
    <w:p w14:paraId="5EEA4DF5" w14:textId="77777777" w:rsidR="0066048F" w:rsidRPr="0066048F" w:rsidRDefault="0066048F" w:rsidP="0066048F">
      <w:pPr>
        <w:pStyle w:val="NoSpacing"/>
        <w:pBdr>
          <w:top w:val="single" w:sz="4" w:space="1" w:color="auto"/>
          <w:left w:val="single" w:sz="4" w:space="1" w:color="auto"/>
          <w:bottom w:val="single" w:sz="4" w:space="1" w:color="auto"/>
          <w:right w:val="single" w:sz="4" w:space="1" w:color="auto"/>
        </w:pBdr>
        <w:rPr>
          <w:rFonts w:ascii="Times New Roman" w:hAnsi="Times New Roman"/>
          <w:i/>
          <w:sz w:val="24"/>
          <w:szCs w:val="24"/>
        </w:rPr>
      </w:pPr>
      <w:r w:rsidRPr="0066048F">
        <w:rPr>
          <w:rFonts w:ascii="Times New Roman" w:hAnsi="Times New Roman"/>
          <w:i/>
          <w:sz w:val="24"/>
          <w:szCs w:val="24"/>
          <w:lang w:val="en"/>
        </w:rPr>
        <w:t> </w:t>
      </w:r>
    </w:p>
    <w:p w14:paraId="5DBDA8A3" w14:textId="612C5213" w:rsidR="0066048F" w:rsidRPr="0066048F" w:rsidRDefault="0066048F" w:rsidP="0066048F">
      <w:pPr>
        <w:pStyle w:val="NoSpacing"/>
        <w:pBdr>
          <w:top w:val="single" w:sz="4" w:space="1" w:color="auto"/>
          <w:left w:val="single" w:sz="4" w:space="1" w:color="auto"/>
          <w:bottom w:val="single" w:sz="4" w:space="1" w:color="auto"/>
          <w:right w:val="single" w:sz="4" w:space="1" w:color="auto"/>
        </w:pBdr>
        <w:rPr>
          <w:rFonts w:ascii="Times New Roman" w:hAnsi="Times New Roman"/>
          <w:i/>
          <w:sz w:val="24"/>
          <w:szCs w:val="24"/>
          <w:lang w:val="en"/>
        </w:rPr>
      </w:pPr>
      <w:r w:rsidRPr="0066048F">
        <w:rPr>
          <w:rFonts w:ascii="Times New Roman" w:hAnsi="Times New Roman"/>
          <w:i/>
          <w:sz w:val="24"/>
          <w:szCs w:val="24"/>
          <w:lang w:val="en"/>
        </w:rPr>
        <w:t>Santa Monica College provides open and affordable access to high quality undergraduate degrees and certificate</w:t>
      </w:r>
      <w:r w:rsidRPr="00F37ABF">
        <w:rPr>
          <w:rFonts w:ascii="Times New Roman" w:hAnsi="Times New Roman"/>
          <w:i/>
          <w:sz w:val="24"/>
          <w:szCs w:val="24"/>
          <w:lang w:val="en"/>
        </w:rPr>
        <w:t>s</w:t>
      </w:r>
      <w:r w:rsidRPr="0066048F">
        <w:rPr>
          <w:rFonts w:ascii="Times New Roman" w:hAnsi="Times New Roman"/>
          <w:i/>
          <w:sz w:val="24"/>
          <w:szCs w:val="24"/>
          <w:lang w:val="en"/>
        </w:rPr>
        <w:t xml:space="preserve"> and participates in partnerships with other colleges and unive</w:t>
      </w:r>
      <w:r w:rsidR="000C0A06">
        <w:rPr>
          <w:rFonts w:ascii="Times New Roman" w:hAnsi="Times New Roman"/>
          <w:i/>
          <w:sz w:val="24"/>
          <w:szCs w:val="24"/>
          <w:lang w:val="en"/>
        </w:rPr>
        <w:t xml:space="preserve">rsities to facilitate </w:t>
      </w:r>
      <w:r w:rsidRPr="0066048F">
        <w:rPr>
          <w:rFonts w:ascii="Times New Roman" w:hAnsi="Times New Roman"/>
          <w:i/>
          <w:sz w:val="24"/>
          <w:szCs w:val="24"/>
          <w:lang w:val="en"/>
        </w:rPr>
        <w:t xml:space="preserve">access to baccalaureate and higher degrees. </w:t>
      </w:r>
      <w:r w:rsidR="005E4432">
        <w:rPr>
          <w:rFonts w:ascii="Times New Roman" w:hAnsi="Times New Roman"/>
          <w:i/>
          <w:sz w:val="24"/>
          <w:szCs w:val="24"/>
          <w:lang w:val="en"/>
        </w:rPr>
        <w:t xml:space="preserve"> </w:t>
      </w:r>
      <w:r w:rsidRPr="0066048F">
        <w:rPr>
          <w:rFonts w:ascii="Times New Roman" w:hAnsi="Times New Roman"/>
          <w:i/>
          <w:sz w:val="24"/>
          <w:szCs w:val="24"/>
          <w:lang w:val="en"/>
        </w:rPr>
        <w:t>The College’s programs and services assist students in the development of skills needed to succeed in college, prepare students for careers and transfer, and nurture a lifetime commitment to learning. </w:t>
      </w:r>
    </w:p>
    <w:p w14:paraId="40C0BA1C" w14:textId="77777777" w:rsidR="0066048F" w:rsidRPr="0066048F" w:rsidRDefault="0066048F" w:rsidP="0066048F">
      <w:pPr>
        <w:pStyle w:val="NoSpacing"/>
        <w:rPr>
          <w:rFonts w:ascii="Times New Roman" w:hAnsi="Times New Roman"/>
          <w:sz w:val="24"/>
          <w:szCs w:val="24"/>
          <w:lang w:val="en"/>
        </w:rPr>
      </w:pPr>
    </w:p>
    <w:p w14:paraId="094CDE9C" w14:textId="315E92C2" w:rsidR="00E712AA" w:rsidRPr="000C0A06" w:rsidRDefault="0066048F" w:rsidP="001D0003">
      <w:r>
        <w:t>To further define this M</w:t>
      </w:r>
      <w:r w:rsidR="00E24F81" w:rsidRPr="00631686">
        <w:t>ission and reinforce its commitment t</w:t>
      </w:r>
      <w:r w:rsidR="000C0A06">
        <w:t xml:space="preserve">o its core values, the </w:t>
      </w:r>
      <w:r w:rsidR="00E24F81" w:rsidRPr="00631686">
        <w:t xml:space="preserve">College has identified five </w:t>
      </w:r>
      <w:r w:rsidR="00E24F81" w:rsidRPr="00631686">
        <w:rPr>
          <w:bCs/>
        </w:rPr>
        <w:t>Institutional Learning Outcomes</w:t>
      </w:r>
      <w:r w:rsidR="00E24F81" w:rsidRPr="00631686">
        <w:t xml:space="preserve"> (ILOs) and five </w:t>
      </w:r>
      <w:r w:rsidR="00F004D8">
        <w:rPr>
          <w:bCs/>
        </w:rPr>
        <w:t>S</w:t>
      </w:r>
      <w:r>
        <w:rPr>
          <w:bCs/>
        </w:rPr>
        <w:t>upporting Goals.  These ILOs and G</w:t>
      </w:r>
      <w:r w:rsidR="00E24F81" w:rsidRPr="00631686">
        <w:rPr>
          <w:bCs/>
        </w:rPr>
        <w:t>oals articulate the measures by which the College assesses its effe</w:t>
      </w:r>
      <w:r>
        <w:rPr>
          <w:bCs/>
        </w:rPr>
        <w:t>ctiveness in accomplishing its M</w:t>
      </w:r>
      <w:r w:rsidR="00E24F81" w:rsidRPr="00631686">
        <w:rPr>
          <w:bCs/>
        </w:rPr>
        <w:t xml:space="preserve">ission.  They also provide the framework for identifying institutional </w:t>
      </w:r>
      <w:r w:rsidR="0040306F">
        <w:fldChar w:fldCharType="begin"/>
      </w:r>
      <w:r w:rsidR="0040306F">
        <w:instrText xml:space="preserve"> HYPERLINK "</w:instrText>
      </w:r>
      <w:bookmarkStart w:id="0" w:name="_GoBack"/>
      <w:r w:rsidR="008F64BB">
        <w:instrText>http://www.smc.edu/AboutSMC/Accreditation/Documents/2016/Standard%20IA%20Evidence/</w:instrText>
      </w:r>
      <w:bookmarkEnd w:id="0"/>
      <w:r w:rsidR="0040306F">
        <w:instrText xml:space="preserve">IA1_Strategic_Initiatives.pdf" </w:instrText>
      </w:r>
      <w:r w:rsidR="0040306F">
        <w:fldChar w:fldCharType="separate"/>
      </w:r>
      <w:r w:rsidR="00E24F81" w:rsidRPr="00ED3AB3">
        <w:rPr>
          <w:rStyle w:val="Hyperlink"/>
          <w:bCs/>
        </w:rPr>
        <w:t>Strategic Initiatives</w:t>
      </w:r>
      <w:r w:rsidR="0040306F">
        <w:rPr>
          <w:rStyle w:val="Hyperlink"/>
          <w:bCs/>
        </w:rPr>
        <w:fldChar w:fldCharType="end"/>
      </w:r>
      <w:r w:rsidR="0003285B">
        <w:rPr>
          <w:rStyle w:val="EndnoteReference"/>
          <w:bCs/>
        </w:rPr>
        <w:endnoteReference w:id="1"/>
      </w:r>
      <w:r w:rsidR="0003285B" w:rsidRPr="00631686">
        <w:rPr>
          <w:bCs/>
        </w:rPr>
        <w:t xml:space="preserve"> and establishing the </w:t>
      </w:r>
      <w:hyperlink r:id="rId8" w:history="1">
        <w:r w:rsidR="0003285B" w:rsidRPr="00ED3AB3">
          <w:rPr>
            <w:rStyle w:val="Hyperlink"/>
            <w:bCs/>
            <w:i/>
          </w:rPr>
          <w:t>Master Plan for Education</w:t>
        </w:r>
      </w:hyperlink>
      <w:r w:rsidR="0003285B">
        <w:rPr>
          <w:bCs/>
        </w:rPr>
        <w:t>,</w:t>
      </w:r>
      <w:r w:rsidR="0003285B">
        <w:rPr>
          <w:rStyle w:val="EndnoteReference"/>
          <w:bCs/>
          <w:i/>
        </w:rPr>
        <w:endnoteReference w:id="2"/>
      </w:r>
      <w:r w:rsidR="0003285B" w:rsidRPr="00631686">
        <w:rPr>
          <w:bCs/>
          <w:i/>
        </w:rPr>
        <w:t xml:space="preserve"> </w:t>
      </w:r>
      <w:r w:rsidR="0003285B" w:rsidRPr="00631686">
        <w:rPr>
          <w:bCs/>
        </w:rPr>
        <w:t xml:space="preserve">which is updated annually and includes objectives for addressing the institution’s most pressing needs, challenges, and opportunities.  </w:t>
      </w:r>
      <w:r w:rsidR="0003285B" w:rsidRPr="0066048F">
        <w:t xml:space="preserve">It is the responsibility of the </w:t>
      </w:r>
      <w:hyperlink r:id="rId9" w:history="1">
        <w:r w:rsidR="0003285B" w:rsidRPr="00ED3AB3">
          <w:rPr>
            <w:rStyle w:val="Hyperlink"/>
          </w:rPr>
          <w:t>District Planning and Advisory Council</w:t>
        </w:r>
      </w:hyperlink>
      <w:r w:rsidR="0003285B">
        <w:t>,</w:t>
      </w:r>
      <w:r w:rsidR="0003285B">
        <w:rPr>
          <w:rStyle w:val="EndnoteReference"/>
        </w:rPr>
        <w:endnoteReference w:id="3"/>
      </w:r>
      <w:r w:rsidR="0003285B" w:rsidRPr="0066048F">
        <w:t xml:space="preserve"> the College’s primary planning body, to develop the annual </w:t>
      </w:r>
      <w:r w:rsidR="0003285B" w:rsidRPr="0066048F">
        <w:rPr>
          <w:i/>
        </w:rPr>
        <w:t>Master Plan for Education</w:t>
      </w:r>
      <w:r w:rsidR="0003285B" w:rsidRPr="0066048F">
        <w:t xml:space="preserve"> update and oversee </w:t>
      </w:r>
      <w:r w:rsidR="0003285B" w:rsidRPr="0066048F">
        <w:lastRenderedPageBreak/>
        <w:t>the long-term planning efforts of reviewing the Vis</w:t>
      </w:r>
      <w:r w:rsidR="0003285B">
        <w:t>ion, Mission, Values, and Goals;</w:t>
      </w:r>
      <w:r w:rsidR="0003285B" w:rsidRPr="0066048F">
        <w:t xml:space="preserve"> assessing</w:t>
      </w:r>
      <w:r w:rsidR="0003285B">
        <w:t xml:space="preserve"> the College’s planning process;</w:t>
      </w:r>
      <w:r w:rsidR="0003285B" w:rsidRPr="0066048F">
        <w:t xml:space="preserve"> and developing new Strateg</w:t>
      </w:r>
      <w:r w:rsidR="0003285B">
        <w:t xml:space="preserve">ic Initiatives every five </w:t>
      </w:r>
      <w:r w:rsidR="0003285B" w:rsidRPr="000E54D8">
        <w:t>years.</w:t>
      </w:r>
      <w:r w:rsidR="00E712AA" w:rsidRPr="000E54D8">
        <w:rPr>
          <w:rStyle w:val="FootnoteReference"/>
        </w:rPr>
        <w:footnoteReference w:id="1"/>
      </w:r>
    </w:p>
    <w:p w14:paraId="6504CE3A" w14:textId="77777777" w:rsidR="0003285B" w:rsidRPr="00DA6B3B" w:rsidRDefault="0003285B" w:rsidP="001D0003">
      <w:pPr>
        <w:rPr>
          <w:bCs/>
        </w:rPr>
      </w:pPr>
    </w:p>
    <w:p w14:paraId="321C4790" w14:textId="451DFA17" w:rsidR="0003285B" w:rsidRDefault="0003285B" w:rsidP="00F37ABF">
      <w:pPr>
        <w:keepNext/>
        <w:rPr>
          <w:b/>
          <w:bCs/>
        </w:rPr>
      </w:pPr>
      <w:r w:rsidRPr="00EA173A">
        <w:rPr>
          <w:b/>
          <w:bCs/>
        </w:rPr>
        <w:t>Institutional Learning Outcomes</w:t>
      </w:r>
    </w:p>
    <w:p w14:paraId="4481AA9A" w14:textId="77777777" w:rsidR="0003285B" w:rsidRDefault="0003285B" w:rsidP="00F37ABF">
      <w:pPr>
        <w:keepNext/>
        <w:rPr>
          <w:b/>
          <w:bCs/>
        </w:rPr>
      </w:pPr>
    </w:p>
    <w:p w14:paraId="046872D2" w14:textId="3B1C469B" w:rsidR="0003285B" w:rsidRDefault="0003285B" w:rsidP="00D91A62">
      <w:r>
        <w:t xml:space="preserve">Students who complete their educational goals at the </w:t>
      </w:r>
      <w:r w:rsidRPr="00EA173A">
        <w:t>College will</w:t>
      </w:r>
      <w:r>
        <w:t xml:space="preserve"> achieve the following ILOs</w:t>
      </w:r>
      <w:r w:rsidRPr="00EA173A">
        <w:t xml:space="preserve">: </w:t>
      </w:r>
    </w:p>
    <w:p w14:paraId="29E884AF" w14:textId="77777777" w:rsidR="0003285B" w:rsidRDefault="0003285B" w:rsidP="00F7337B">
      <w:pPr>
        <w:numPr>
          <w:ilvl w:val="0"/>
          <w:numId w:val="1"/>
        </w:numPr>
        <w:tabs>
          <w:tab w:val="clear" w:pos="720"/>
          <w:tab w:val="left" w:pos="360"/>
        </w:tabs>
      </w:pPr>
      <w:r w:rsidRPr="00EA173A">
        <w:t xml:space="preserve">Acquire the self-confidence and self-discipline to pursue their intellectual curiosities with integrity in both their personal and professional lives. </w:t>
      </w:r>
      <w:r>
        <w:t xml:space="preserve"> (</w:t>
      </w:r>
      <w:r>
        <w:rPr>
          <w:i/>
        </w:rPr>
        <w:t>Personal Attributes</w:t>
      </w:r>
      <w:r>
        <w:t>)</w:t>
      </w:r>
    </w:p>
    <w:p w14:paraId="5837089C" w14:textId="77777777" w:rsidR="0003285B" w:rsidRDefault="0003285B" w:rsidP="00F7337B">
      <w:pPr>
        <w:numPr>
          <w:ilvl w:val="0"/>
          <w:numId w:val="1"/>
        </w:numPr>
        <w:tabs>
          <w:tab w:val="clear" w:pos="720"/>
          <w:tab w:val="left" w:pos="360"/>
        </w:tabs>
      </w:pPr>
      <w:r w:rsidRPr="00EA173A">
        <w:t xml:space="preserve">Obtain the knowledge and academic skills necessary to access, evaluate, and interpret ideas, images, and information critically in order to communicate effectively, reach conclusions, and solve problems. </w:t>
      </w:r>
      <w:r>
        <w:t xml:space="preserve"> (</w:t>
      </w:r>
      <w:r>
        <w:rPr>
          <w:i/>
        </w:rPr>
        <w:t>Analytic and Communication Skills</w:t>
      </w:r>
      <w:r>
        <w:t>)</w:t>
      </w:r>
    </w:p>
    <w:p w14:paraId="52523D1C" w14:textId="253E06C7" w:rsidR="0003285B" w:rsidRPr="001D0003" w:rsidRDefault="0003285B" w:rsidP="00F7337B">
      <w:pPr>
        <w:numPr>
          <w:ilvl w:val="0"/>
          <w:numId w:val="1"/>
        </w:numPr>
        <w:tabs>
          <w:tab w:val="clear" w:pos="720"/>
          <w:tab w:val="left" w:pos="360"/>
        </w:tabs>
      </w:pPr>
      <w:r w:rsidRPr="00EA173A">
        <w:t>Respect the inter-relatedness of the global environment, engage with diverse peoples, and acknowledge the significance of their daily actions relative to broader issues and events.</w:t>
      </w:r>
      <w:r>
        <w:t xml:space="preserve">  (</w:t>
      </w:r>
      <w:r w:rsidRPr="00036536">
        <w:rPr>
          <w:bCs/>
          <w:i/>
        </w:rPr>
        <w:t>Applied Social Knowledge and Values</w:t>
      </w:r>
      <w:r>
        <w:rPr>
          <w:bCs/>
        </w:rPr>
        <w:t>)</w:t>
      </w:r>
    </w:p>
    <w:p w14:paraId="37FF3F5A" w14:textId="77777777" w:rsidR="0003285B" w:rsidRPr="00036536" w:rsidRDefault="0003285B" w:rsidP="00F7337B">
      <w:pPr>
        <w:pStyle w:val="ListParagraph"/>
        <w:numPr>
          <w:ilvl w:val="0"/>
          <w:numId w:val="1"/>
        </w:numPr>
        <w:tabs>
          <w:tab w:val="clear" w:pos="720"/>
          <w:tab w:val="left" w:pos="360"/>
        </w:tabs>
        <w:spacing w:after="0" w:line="240" w:lineRule="auto"/>
        <w:rPr>
          <w:sz w:val="24"/>
          <w:szCs w:val="24"/>
        </w:rPr>
      </w:pPr>
      <w:r w:rsidRPr="00036536">
        <w:rPr>
          <w:sz w:val="24"/>
          <w:szCs w:val="24"/>
        </w:rPr>
        <w:t>Take responsibility for their own impact on the earth by living a sustainable and ethical life style.  (</w:t>
      </w:r>
      <w:r w:rsidRPr="00036536">
        <w:rPr>
          <w:bCs/>
          <w:i/>
          <w:sz w:val="24"/>
          <w:szCs w:val="24"/>
        </w:rPr>
        <w:t>Applied Knowledge and Valuation of the Physical World</w:t>
      </w:r>
      <w:r w:rsidRPr="00036536">
        <w:rPr>
          <w:bCs/>
          <w:sz w:val="24"/>
          <w:szCs w:val="24"/>
        </w:rPr>
        <w:t>)</w:t>
      </w:r>
    </w:p>
    <w:p w14:paraId="562E33EA" w14:textId="0B6D83B7" w:rsidR="0003285B" w:rsidRPr="001D0003" w:rsidRDefault="0003285B" w:rsidP="00F7337B">
      <w:pPr>
        <w:pStyle w:val="ListParagraph"/>
        <w:numPr>
          <w:ilvl w:val="0"/>
          <w:numId w:val="1"/>
        </w:numPr>
        <w:tabs>
          <w:tab w:val="clear" w:pos="720"/>
          <w:tab w:val="left" w:pos="360"/>
        </w:tabs>
        <w:spacing w:after="0" w:line="240" w:lineRule="auto"/>
        <w:rPr>
          <w:sz w:val="24"/>
          <w:szCs w:val="24"/>
        </w:rPr>
      </w:pPr>
      <w:r w:rsidRPr="00036536">
        <w:rPr>
          <w:sz w:val="24"/>
          <w:szCs w:val="24"/>
        </w:rPr>
        <w:t>Demonstrate a level of engagement in the subject matter that enables and motivates the integration of acquired knowledge and skills beyond the classroom. (</w:t>
      </w:r>
      <w:r w:rsidRPr="00036536">
        <w:rPr>
          <w:bCs/>
          <w:i/>
          <w:sz w:val="24"/>
          <w:szCs w:val="24"/>
        </w:rPr>
        <w:t>Authentic Engagement</w:t>
      </w:r>
      <w:r w:rsidRPr="00036536">
        <w:rPr>
          <w:bCs/>
          <w:sz w:val="24"/>
          <w:szCs w:val="24"/>
        </w:rPr>
        <w:t>)</w:t>
      </w:r>
    </w:p>
    <w:p w14:paraId="458A7824" w14:textId="77777777" w:rsidR="0003285B" w:rsidRDefault="0003285B" w:rsidP="001D0003">
      <w:pPr>
        <w:outlineLvl w:val="2"/>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2"/>
        <w:gridCol w:w="6814"/>
      </w:tblGrid>
      <w:tr w:rsidR="0003285B" w:rsidRPr="00B60167" w14:paraId="71B84DF1" w14:textId="77777777" w:rsidTr="00F67F78">
        <w:trPr>
          <w:tblHeader/>
        </w:trPr>
        <w:tc>
          <w:tcPr>
            <w:tcW w:w="9350" w:type="dxa"/>
            <w:gridSpan w:val="2"/>
          </w:tcPr>
          <w:p w14:paraId="0296E413" w14:textId="5EFD6C1C" w:rsidR="0003285B" w:rsidRPr="00F34707" w:rsidRDefault="0003285B" w:rsidP="00D91A62">
            <w:pPr>
              <w:keepNext/>
              <w:jc w:val="center"/>
              <w:rPr>
                <w:rFonts w:asciiTheme="minorHAnsi" w:hAnsiTheme="minorHAnsi"/>
                <w:b/>
                <w:sz w:val="22"/>
              </w:rPr>
            </w:pPr>
            <w:r w:rsidRPr="00F34707">
              <w:rPr>
                <w:rFonts w:asciiTheme="minorHAnsi" w:hAnsiTheme="minorHAnsi"/>
                <w:b/>
                <w:sz w:val="22"/>
              </w:rPr>
              <w:t>SUPPORTING GOALS</w:t>
            </w:r>
          </w:p>
        </w:tc>
      </w:tr>
      <w:tr w:rsidR="0003285B" w:rsidRPr="00B60167" w14:paraId="496A7671" w14:textId="77777777" w:rsidTr="00F67F78">
        <w:tc>
          <w:tcPr>
            <w:tcW w:w="2425" w:type="dxa"/>
          </w:tcPr>
          <w:p w14:paraId="46931ABA" w14:textId="77777777" w:rsidR="0003285B" w:rsidRPr="00F34707" w:rsidRDefault="0003285B" w:rsidP="00D91A62">
            <w:pPr>
              <w:outlineLvl w:val="2"/>
              <w:rPr>
                <w:rFonts w:asciiTheme="minorHAnsi" w:hAnsiTheme="minorHAnsi"/>
                <w:b/>
                <w:bCs/>
                <w:sz w:val="22"/>
              </w:rPr>
            </w:pPr>
            <w:r w:rsidRPr="00F34707">
              <w:rPr>
                <w:rFonts w:asciiTheme="minorHAnsi" w:hAnsiTheme="minorHAnsi"/>
                <w:b/>
                <w:bCs/>
                <w:sz w:val="22"/>
              </w:rPr>
              <w:t>Innovative and Responsive Academic Environment</w:t>
            </w:r>
          </w:p>
        </w:tc>
        <w:tc>
          <w:tcPr>
            <w:tcW w:w="6925" w:type="dxa"/>
          </w:tcPr>
          <w:p w14:paraId="14752C03" w14:textId="5796D2CA" w:rsidR="0003285B" w:rsidRPr="00F34707" w:rsidRDefault="0003285B" w:rsidP="00933690">
            <w:pPr>
              <w:keepNext/>
              <w:numPr>
                <w:ilvl w:val="0"/>
                <w:numId w:val="2"/>
              </w:numPr>
              <w:tabs>
                <w:tab w:val="clear" w:pos="720"/>
                <w:tab w:val="num" w:pos="459"/>
              </w:tabs>
              <w:ind w:left="459" w:hanging="362"/>
              <w:rPr>
                <w:rFonts w:asciiTheme="minorHAnsi" w:hAnsiTheme="minorHAnsi"/>
                <w:sz w:val="22"/>
              </w:rPr>
            </w:pPr>
            <w:r w:rsidRPr="00F34707">
              <w:rPr>
                <w:rFonts w:asciiTheme="minorHAnsi" w:hAnsiTheme="minorHAnsi"/>
                <w:sz w:val="22"/>
              </w:rPr>
              <w:t>Continuously develop curricular programs, learning strategies, and services to meet the evolving needs of students and the community.</w:t>
            </w:r>
          </w:p>
          <w:p w14:paraId="6E262BC7" w14:textId="77777777" w:rsidR="0003285B" w:rsidRPr="00F34707" w:rsidRDefault="0003285B" w:rsidP="00933690">
            <w:pPr>
              <w:keepNext/>
              <w:tabs>
                <w:tab w:val="num" w:pos="459"/>
              </w:tabs>
              <w:ind w:left="459" w:hanging="362"/>
              <w:outlineLvl w:val="2"/>
              <w:rPr>
                <w:rFonts w:asciiTheme="minorHAnsi" w:hAnsiTheme="minorHAnsi"/>
                <w:b/>
                <w:bCs/>
                <w:sz w:val="22"/>
              </w:rPr>
            </w:pPr>
          </w:p>
        </w:tc>
      </w:tr>
      <w:tr w:rsidR="0003285B" w:rsidRPr="00B60167" w14:paraId="149062C7" w14:textId="77777777" w:rsidTr="00F67F78">
        <w:tc>
          <w:tcPr>
            <w:tcW w:w="2425" w:type="dxa"/>
          </w:tcPr>
          <w:p w14:paraId="144E9E5A" w14:textId="77777777" w:rsidR="0003285B" w:rsidRPr="00F34707" w:rsidRDefault="0003285B" w:rsidP="00B60167">
            <w:pPr>
              <w:outlineLvl w:val="2"/>
              <w:rPr>
                <w:rFonts w:asciiTheme="minorHAnsi" w:hAnsiTheme="minorHAnsi"/>
                <w:b/>
                <w:bCs/>
                <w:sz w:val="22"/>
              </w:rPr>
            </w:pPr>
            <w:r w:rsidRPr="00F34707">
              <w:rPr>
                <w:rFonts w:asciiTheme="minorHAnsi" w:hAnsiTheme="minorHAnsi"/>
                <w:b/>
                <w:bCs/>
                <w:sz w:val="22"/>
              </w:rPr>
              <w:t>Supportive Learning Environment</w:t>
            </w:r>
          </w:p>
        </w:tc>
        <w:tc>
          <w:tcPr>
            <w:tcW w:w="6925" w:type="dxa"/>
          </w:tcPr>
          <w:p w14:paraId="271D993F" w14:textId="502168B2" w:rsidR="0003285B" w:rsidRPr="00F34707" w:rsidRDefault="0003285B" w:rsidP="00933690">
            <w:pPr>
              <w:numPr>
                <w:ilvl w:val="0"/>
                <w:numId w:val="3"/>
              </w:numPr>
              <w:tabs>
                <w:tab w:val="clear" w:pos="720"/>
                <w:tab w:val="num" w:pos="459"/>
              </w:tabs>
              <w:ind w:left="459" w:hanging="362"/>
              <w:rPr>
                <w:rFonts w:asciiTheme="minorHAnsi" w:hAnsiTheme="minorHAnsi"/>
                <w:sz w:val="22"/>
              </w:rPr>
            </w:pPr>
            <w:r w:rsidRPr="00F34707">
              <w:rPr>
                <w:rFonts w:asciiTheme="minorHAnsi" w:hAnsiTheme="minorHAnsi"/>
                <w:sz w:val="22"/>
              </w:rPr>
              <w:t>Provide access to comprehensive student learning resources such as library, tutoring, and technology.</w:t>
            </w:r>
          </w:p>
          <w:p w14:paraId="358CC25B" w14:textId="28672C68" w:rsidR="0003285B" w:rsidRPr="00F34707" w:rsidRDefault="0003285B" w:rsidP="00933690">
            <w:pPr>
              <w:numPr>
                <w:ilvl w:val="0"/>
                <w:numId w:val="3"/>
              </w:numPr>
              <w:tabs>
                <w:tab w:val="clear" w:pos="720"/>
                <w:tab w:val="num" w:pos="459"/>
              </w:tabs>
              <w:ind w:left="459" w:hanging="362"/>
              <w:rPr>
                <w:rFonts w:asciiTheme="minorHAnsi" w:hAnsiTheme="minorHAnsi"/>
                <w:sz w:val="22"/>
              </w:rPr>
            </w:pPr>
            <w:r w:rsidRPr="00F34707">
              <w:rPr>
                <w:rFonts w:asciiTheme="minorHAnsi" w:hAnsiTheme="minorHAnsi"/>
                <w:sz w:val="22"/>
              </w:rPr>
              <w:t>Provide access to comprehensive and innovative student support services, such as admissions and records, counseling, assessment, outreach, and financial aid.</w:t>
            </w:r>
          </w:p>
          <w:p w14:paraId="7408E6EF" w14:textId="77777777" w:rsidR="0003285B" w:rsidRPr="00F34707" w:rsidRDefault="0003285B" w:rsidP="00933690">
            <w:pPr>
              <w:tabs>
                <w:tab w:val="num" w:pos="459"/>
              </w:tabs>
              <w:ind w:left="459" w:hanging="362"/>
              <w:outlineLvl w:val="2"/>
              <w:rPr>
                <w:rFonts w:asciiTheme="minorHAnsi" w:hAnsiTheme="minorHAnsi"/>
                <w:b/>
                <w:bCs/>
                <w:sz w:val="22"/>
              </w:rPr>
            </w:pPr>
          </w:p>
        </w:tc>
      </w:tr>
      <w:tr w:rsidR="0003285B" w:rsidRPr="00B60167" w14:paraId="5B842C11" w14:textId="77777777" w:rsidTr="00F67F78">
        <w:tc>
          <w:tcPr>
            <w:tcW w:w="2425" w:type="dxa"/>
          </w:tcPr>
          <w:p w14:paraId="022A1AD4" w14:textId="77777777" w:rsidR="0003285B" w:rsidRPr="00F34707" w:rsidRDefault="0003285B" w:rsidP="00B60167">
            <w:pPr>
              <w:outlineLvl w:val="2"/>
              <w:rPr>
                <w:rFonts w:asciiTheme="minorHAnsi" w:hAnsiTheme="minorHAnsi"/>
                <w:b/>
                <w:bCs/>
                <w:sz w:val="22"/>
              </w:rPr>
            </w:pPr>
            <w:r w:rsidRPr="00F34707">
              <w:rPr>
                <w:rFonts w:asciiTheme="minorHAnsi" w:hAnsiTheme="minorHAnsi"/>
                <w:b/>
                <w:bCs/>
                <w:sz w:val="22"/>
              </w:rPr>
              <w:t>Stable Fiscal Environment</w:t>
            </w:r>
          </w:p>
        </w:tc>
        <w:tc>
          <w:tcPr>
            <w:tcW w:w="6925" w:type="dxa"/>
          </w:tcPr>
          <w:p w14:paraId="2453E2C7" w14:textId="05595A66" w:rsidR="0003285B" w:rsidRPr="00F34707" w:rsidRDefault="0003285B" w:rsidP="00933690">
            <w:pPr>
              <w:numPr>
                <w:ilvl w:val="0"/>
                <w:numId w:val="4"/>
              </w:numPr>
              <w:tabs>
                <w:tab w:val="clear" w:pos="720"/>
                <w:tab w:val="num" w:pos="459"/>
              </w:tabs>
              <w:ind w:left="459" w:hanging="362"/>
              <w:rPr>
                <w:rFonts w:asciiTheme="minorHAnsi" w:hAnsiTheme="minorHAnsi"/>
                <w:sz w:val="22"/>
              </w:rPr>
            </w:pPr>
            <w:r w:rsidRPr="00F34707">
              <w:rPr>
                <w:rFonts w:asciiTheme="minorHAnsi" w:hAnsiTheme="minorHAnsi"/>
                <w:sz w:val="22"/>
              </w:rPr>
              <w:t>Respond to dynamic fiscal conditions through ongoing evaluation and reallocation of existing resources and the development of new resources.</w:t>
            </w:r>
          </w:p>
          <w:p w14:paraId="412FA2C5" w14:textId="77777777" w:rsidR="0003285B" w:rsidRPr="00F34707" w:rsidRDefault="0003285B" w:rsidP="00933690">
            <w:pPr>
              <w:tabs>
                <w:tab w:val="num" w:pos="459"/>
              </w:tabs>
              <w:ind w:left="459" w:hanging="362"/>
              <w:outlineLvl w:val="2"/>
              <w:rPr>
                <w:rFonts w:asciiTheme="minorHAnsi" w:hAnsiTheme="minorHAnsi"/>
                <w:b/>
                <w:bCs/>
                <w:sz w:val="22"/>
              </w:rPr>
            </w:pPr>
          </w:p>
        </w:tc>
      </w:tr>
      <w:tr w:rsidR="0003285B" w:rsidRPr="00B60167" w14:paraId="0F8D24DF" w14:textId="77777777" w:rsidTr="00F67F78">
        <w:tc>
          <w:tcPr>
            <w:tcW w:w="2425" w:type="dxa"/>
          </w:tcPr>
          <w:p w14:paraId="789B7378" w14:textId="77777777" w:rsidR="0003285B" w:rsidRPr="00F34707" w:rsidRDefault="0003285B" w:rsidP="00B60167">
            <w:pPr>
              <w:outlineLvl w:val="2"/>
              <w:rPr>
                <w:rFonts w:asciiTheme="minorHAnsi" w:hAnsiTheme="minorHAnsi"/>
                <w:b/>
                <w:bCs/>
                <w:sz w:val="22"/>
              </w:rPr>
            </w:pPr>
            <w:r w:rsidRPr="00F34707">
              <w:rPr>
                <w:rFonts w:asciiTheme="minorHAnsi" w:hAnsiTheme="minorHAnsi"/>
                <w:b/>
                <w:bCs/>
                <w:sz w:val="22"/>
              </w:rPr>
              <w:t>Sustainable Physical Environment</w:t>
            </w:r>
          </w:p>
        </w:tc>
        <w:tc>
          <w:tcPr>
            <w:tcW w:w="6925" w:type="dxa"/>
          </w:tcPr>
          <w:p w14:paraId="7EA9C6FD" w14:textId="3D3F591A" w:rsidR="0003285B" w:rsidRPr="00F34707" w:rsidRDefault="0003285B" w:rsidP="00933690">
            <w:pPr>
              <w:numPr>
                <w:ilvl w:val="0"/>
                <w:numId w:val="5"/>
              </w:numPr>
              <w:tabs>
                <w:tab w:val="clear" w:pos="720"/>
                <w:tab w:val="num" w:pos="459"/>
              </w:tabs>
              <w:ind w:left="459" w:hanging="362"/>
              <w:rPr>
                <w:rFonts w:asciiTheme="minorHAnsi" w:hAnsiTheme="minorHAnsi"/>
                <w:sz w:val="22"/>
              </w:rPr>
            </w:pPr>
            <w:r w:rsidRPr="00F34707">
              <w:rPr>
                <w:rFonts w:asciiTheme="minorHAnsi" w:hAnsiTheme="minorHAnsi"/>
                <w:sz w:val="22"/>
              </w:rPr>
              <w:t>Apply sustainable practices to maintain and enhance the College’s facilities and infrastructure, including grounds, buildings, and technology.</w:t>
            </w:r>
          </w:p>
          <w:p w14:paraId="5243D69D" w14:textId="77777777" w:rsidR="0003285B" w:rsidRPr="00F34707" w:rsidRDefault="0003285B" w:rsidP="00933690">
            <w:pPr>
              <w:tabs>
                <w:tab w:val="num" w:pos="459"/>
              </w:tabs>
              <w:ind w:left="459" w:hanging="362"/>
              <w:outlineLvl w:val="2"/>
              <w:rPr>
                <w:rFonts w:asciiTheme="minorHAnsi" w:hAnsiTheme="minorHAnsi"/>
                <w:b/>
                <w:bCs/>
                <w:sz w:val="22"/>
              </w:rPr>
            </w:pPr>
          </w:p>
        </w:tc>
      </w:tr>
      <w:tr w:rsidR="0003285B" w:rsidRPr="00B60167" w14:paraId="7839F117" w14:textId="77777777" w:rsidTr="00F67F78">
        <w:tc>
          <w:tcPr>
            <w:tcW w:w="2425" w:type="dxa"/>
          </w:tcPr>
          <w:p w14:paraId="34CC3EB4" w14:textId="77777777" w:rsidR="0003285B" w:rsidRPr="00F34707" w:rsidRDefault="0003285B" w:rsidP="00B60167">
            <w:pPr>
              <w:outlineLvl w:val="2"/>
              <w:rPr>
                <w:rFonts w:asciiTheme="minorHAnsi" w:hAnsiTheme="minorHAnsi"/>
                <w:b/>
                <w:bCs/>
                <w:sz w:val="22"/>
              </w:rPr>
            </w:pPr>
            <w:r w:rsidRPr="00F34707">
              <w:rPr>
                <w:rFonts w:asciiTheme="minorHAnsi" w:hAnsiTheme="minorHAnsi"/>
                <w:b/>
                <w:bCs/>
                <w:sz w:val="22"/>
              </w:rPr>
              <w:t>Supportive Collegial Environment</w:t>
            </w:r>
          </w:p>
        </w:tc>
        <w:tc>
          <w:tcPr>
            <w:tcW w:w="6925" w:type="dxa"/>
          </w:tcPr>
          <w:p w14:paraId="1A8E4201" w14:textId="26E2A89F" w:rsidR="0003285B" w:rsidRPr="00F34707" w:rsidRDefault="0003285B" w:rsidP="00933690">
            <w:pPr>
              <w:numPr>
                <w:ilvl w:val="0"/>
                <w:numId w:val="6"/>
              </w:numPr>
              <w:tabs>
                <w:tab w:val="clear" w:pos="720"/>
                <w:tab w:val="num" w:pos="459"/>
              </w:tabs>
              <w:ind w:left="459" w:hanging="362"/>
              <w:rPr>
                <w:rFonts w:asciiTheme="minorHAnsi" w:hAnsiTheme="minorHAnsi"/>
                <w:sz w:val="22"/>
              </w:rPr>
            </w:pPr>
            <w:r w:rsidRPr="00F34707">
              <w:rPr>
                <w:rFonts w:asciiTheme="minorHAnsi" w:hAnsiTheme="minorHAnsi"/>
                <w:sz w:val="22"/>
              </w:rPr>
              <w:t xml:space="preserve">Improve and enhance decision-making and communication processes in order to respect the diverse needs and goals of the entire </w:t>
            </w:r>
            <w:r>
              <w:rPr>
                <w:rFonts w:asciiTheme="minorHAnsi" w:hAnsiTheme="minorHAnsi"/>
                <w:sz w:val="22"/>
              </w:rPr>
              <w:t>college community</w:t>
            </w:r>
            <w:r w:rsidRPr="00F34707">
              <w:rPr>
                <w:rFonts w:asciiTheme="minorHAnsi" w:hAnsiTheme="minorHAnsi"/>
                <w:sz w:val="22"/>
              </w:rPr>
              <w:t>.</w:t>
            </w:r>
          </w:p>
          <w:p w14:paraId="5E86E632" w14:textId="77777777" w:rsidR="0003285B" w:rsidRPr="00F34707" w:rsidRDefault="0003285B" w:rsidP="00933690">
            <w:pPr>
              <w:tabs>
                <w:tab w:val="num" w:pos="459"/>
              </w:tabs>
              <w:ind w:left="459" w:hanging="362"/>
              <w:outlineLvl w:val="2"/>
              <w:rPr>
                <w:rFonts w:asciiTheme="minorHAnsi" w:hAnsiTheme="minorHAnsi"/>
                <w:b/>
                <w:bCs/>
                <w:sz w:val="22"/>
              </w:rPr>
            </w:pPr>
          </w:p>
        </w:tc>
      </w:tr>
    </w:tbl>
    <w:p w14:paraId="61E2F2E5" w14:textId="77777777" w:rsidR="0003285B" w:rsidRDefault="0003285B" w:rsidP="001D0003">
      <w:pPr>
        <w:outlineLvl w:val="2"/>
        <w:rPr>
          <w:b/>
          <w:bCs/>
        </w:rPr>
      </w:pPr>
    </w:p>
    <w:p w14:paraId="71F69F5E" w14:textId="2B9BD911" w:rsidR="0003285B" w:rsidRPr="00F7337B" w:rsidRDefault="0003285B" w:rsidP="00F7337B">
      <w:pPr>
        <w:outlineLvl w:val="2"/>
        <w:rPr>
          <w:bCs/>
        </w:rPr>
      </w:pPr>
      <w:r>
        <w:rPr>
          <w:bCs/>
        </w:rPr>
        <w:lastRenderedPageBreak/>
        <w:t xml:space="preserve">An overview of the </w:t>
      </w:r>
      <w:hyperlink r:id="rId10" w:history="1">
        <w:r w:rsidRPr="0087447B">
          <w:rPr>
            <w:rStyle w:val="Hyperlink"/>
            <w:bCs/>
          </w:rPr>
          <w:t>Vision, Mission, ILOs, and Supporting Goals</w:t>
        </w:r>
      </w:hyperlink>
      <w:r>
        <w:rPr>
          <w:bCs/>
        </w:rPr>
        <w:t xml:space="preserve"> is included on the College’s website.</w:t>
      </w:r>
      <w:r>
        <w:rPr>
          <w:rStyle w:val="EndnoteReference"/>
          <w:bCs/>
        </w:rPr>
        <w:endnoteReference w:id="4"/>
      </w:r>
      <w:r>
        <w:rPr>
          <w:bCs/>
        </w:rPr>
        <w:t xml:space="preserve">  The following pages specifically delineate how the Mission describes its educational purpose, intended student population, types of degrees and credentials offered, and its commitment to student learning and achievement.</w:t>
      </w:r>
    </w:p>
    <w:p w14:paraId="1D4CD2E9" w14:textId="77777777" w:rsidR="0003285B" w:rsidRDefault="0003285B" w:rsidP="005E4432">
      <w:pPr>
        <w:keepNext/>
        <w:rPr>
          <w:b/>
        </w:rPr>
      </w:pPr>
      <w:r w:rsidRPr="00036536">
        <w:rPr>
          <w:b/>
        </w:rPr>
        <w:t>Edu</w:t>
      </w:r>
      <w:r>
        <w:rPr>
          <w:b/>
        </w:rPr>
        <w:t>cational Purpose</w:t>
      </w:r>
    </w:p>
    <w:p w14:paraId="5C27D0AB" w14:textId="77777777" w:rsidR="0003285B" w:rsidRDefault="0003285B" w:rsidP="005E4432">
      <w:pPr>
        <w:keepNext/>
        <w:rPr>
          <w:b/>
        </w:rPr>
      </w:pPr>
    </w:p>
    <w:p w14:paraId="224D42D0" w14:textId="244FB54E" w:rsidR="0003285B" w:rsidRPr="00164D64" w:rsidRDefault="0003285B" w:rsidP="00D91A62">
      <w:pPr>
        <w:rPr>
          <w:color w:val="333333"/>
          <w:bdr w:val="none" w:sz="0" w:space="0" w:color="auto" w:frame="1"/>
        </w:rPr>
      </w:pPr>
      <w:r>
        <w:t xml:space="preserve">Santa Monica College’s educational purpose is embedded in its Mission statement.  </w:t>
      </w:r>
      <w:r w:rsidRPr="00164D64">
        <w:t>This purpose, as defined, is consistent with the primary mission of the California Community Colleges as articulated in Education Code Section 66010.4, which states</w:t>
      </w:r>
      <w:r w:rsidRPr="003A69BB">
        <w:rPr>
          <w:color w:val="000000" w:themeColor="text1"/>
        </w:rPr>
        <w:t xml:space="preserve">, </w:t>
      </w:r>
      <w:r w:rsidRPr="00171771">
        <w:rPr>
          <w:i/>
          <w:color w:val="000000" w:themeColor="text1"/>
        </w:rPr>
        <w:t>“T</w:t>
      </w:r>
      <w:r w:rsidRPr="00171771">
        <w:rPr>
          <w:i/>
          <w:color w:val="000000" w:themeColor="text1"/>
          <w:bdr w:val="none" w:sz="0" w:space="0" w:color="auto" w:frame="1"/>
        </w:rPr>
        <w:t>he California Community Colleges shall, as a primary mission, offer academic and vocational instruction at the lower division level for both younger and older students, including those persons returning to school.</w:t>
      </w:r>
      <w:r>
        <w:rPr>
          <w:i/>
          <w:color w:val="000000" w:themeColor="text1"/>
          <w:bdr w:val="none" w:sz="0" w:space="0" w:color="auto" w:frame="1"/>
        </w:rPr>
        <w:t>”</w:t>
      </w:r>
      <w:r w:rsidRPr="00171771">
        <w:rPr>
          <w:i/>
          <w:color w:val="000000" w:themeColor="text1"/>
          <w:bdr w:val="none" w:sz="0" w:space="0" w:color="auto" w:frame="1"/>
        </w:rPr>
        <w:t xml:space="preserve">  </w:t>
      </w:r>
    </w:p>
    <w:p w14:paraId="0908EDB9" w14:textId="77777777" w:rsidR="0003285B" w:rsidRPr="00164D64" w:rsidRDefault="0003285B" w:rsidP="00835D09">
      <w:pPr>
        <w:rPr>
          <w:color w:val="333333"/>
          <w:bdr w:val="none" w:sz="0" w:space="0" w:color="auto" w:frame="1"/>
        </w:rPr>
      </w:pPr>
    </w:p>
    <w:p w14:paraId="2297BC6D" w14:textId="15D413D5" w:rsidR="0003285B" w:rsidRDefault="0003285B" w:rsidP="001D0003">
      <w:r>
        <w:t>The College Mission, Supporting Goals, and outcomes have evolved over time as the needs and concerns of students, employers, and communities have changed at the local, state, and federal levels.  For the past decade, there has been greater state and federal emphasis on developmental education and preparation for college-level coursework, career technical education programs and workforce readiness, global citizenship, student equity, and, most recently, baccalaureate degrees at the community college level.  The new and emerging interest in these areas has had several direct impacts on the College’s Mission and outcomes, including the following:</w:t>
      </w:r>
    </w:p>
    <w:p w14:paraId="487094AC" w14:textId="6BDA7FF1" w:rsidR="0003285B" w:rsidRDefault="0003285B" w:rsidP="00F7337B">
      <w:pPr>
        <w:numPr>
          <w:ilvl w:val="0"/>
          <w:numId w:val="5"/>
        </w:numPr>
        <w:spacing w:before="60"/>
      </w:pPr>
      <w:r>
        <w:t>Inclusion of global citizenship in the Mission and as an Institutional Learning Outcome: Santa Monica College was one of the first community colleges in California to integrate global citizenship into the fabric of the institution.  Identified as a Strategic Initiative in 2006, the Global Citizenship Initiative has worked to increase student awareness of the social, cultural, and environmental transformations taking place at all levels of society; foster attitudes of tolerance and respect for diversity; enhance student command of technologies; and encourage a commitment to act as responsible global citizens.  Over time, this initiative has been institutionalized across campus through multiple annual objectives and other actions, including the creation of an Academic Senate Global Citizenship Committee</w:t>
      </w:r>
      <w:r w:rsidR="00F7337B">
        <w:t>,</w:t>
      </w:r>
      <w:r>
        <w:t xml:space="preserve"> the addition of a global citizenship degree requirement</w:t>
      </w:r>
      <w:r w:rsidR="00F7337B">
        <w:t xml:space="preserve">, and </w:t>
      </w:r>
      <w:r>
        <w:t xml:space="preserve">the inclusion in the </w:t>
      </w:r>
      <w:hyperlink r:id="rId11" w:history="1">
        <w:r w:rsidRPr="0087447B">
          <w:rPr>
            <w:rStyle w:val="Hyperlink"/>
          </w:rPr>
          <w:t>2011 revision of the College’s Mission</w:t>
        </w:r>
      </w:hyperlink>
      <w:r>
        <w:t>.</w:t>
      </w:r>
      <w:r>
        <w:rPr>
          <w:rStyle w:val="EndnoteReference"/>
        </w:rPr>
        <w:endnoteReference w:id="5"/>
      </w:r>
      <w:r>
        <w:t xml:space="preserve">  </w:t>
      </w:r>
    </w:p>
    <w:p w14:paraId="1C5043EC" w14:textId="77777777" w:rsidR="0003285B" w:rsidRDefault="0003285B" w:rsidP="00F7337B">
      <w:pPr>
        <w:spacing w:before="60"/>
        <w:ind w:left="720"/>
        <w:rPr>
          <w:i/>
        </w:rPr>
      </w:pPr>
      <w:r>
        <w:rPr>
          <w:i/>
        </w:rPr>
        <w:t>“Students learn to contribute to the global community as they develop an understanding of their relationship to diverse social, cultural, political, economic, technological, and natural environments.”</w:t>
      </w:r>
    </w:p>
    <w:p w14:paraId="1B8EE31F" w14:textId="049A698F" w:rsidR="0003285B" w:rsidRDefault="0003285B" w:rsidP="00F7337B">
      <w:pPr>
        <w:spacing w:before="60"/>
        <w:ind w:left="720"/>
        <w:rPr>
          <w:i/>
        </w:rPr>
      </w:pPr>
      <w:r>
        <w:t xml:space="preserve">In addition, the College added an </w:t>
      </w:r>
      <w:hyperlink r:id="rId12" w:history="1">
        <w:r w:rsidRPr="003F5E62">
          <w:rPr>
            <w:rStyle w:val="Hyperlink"/>
          </w:rPr>
          <w:t>Institutional Learning Outcome targeted to global citizenship</w:t>
        </w:r>
      </w:hyperlink>
      <w:r w:rsidR="00C854D2">
        <w:rPr>
          <w:rStyle w:val="EndnoteReference"/>
        </w:rPr>
        <w:endnoteReference w:id="6"/>
      </w:r>
      <w:r>
        <w:t xml:space="preserve"> and revised the College’s credo to reflect this emphasis: </w:t>
      </w:r>
      <w:r>
        <w:rPr>
          <w:i/>
        </w:rPr>
        <w:t>Santa Monica College: Changing Lives in the Global Community Through Excellence in Education.</w:t>
      </w:r>
    </w:p>
    <w:p w14:paraId="04F94D0C" w14:textId="50478580" w:rsidR="0003285B" w:rsidRDefault="0003285B" w:rsidP="00F7337B">
      <w:pPr>
        <w:numPr>
          <w:ilvl w:val="0"/>
          <w:numId w:val="5"/>
        </w:numPr>
        <w:spacing w:before="120"/>
      </w:pPr>
      <w:r>
        <w:lastRenderedPageBreak/>
        <w:t xml:space="preserve">Inclusion of authentic engagement and applied learning as Institutional Learning Outcomes: One of the cornerstones of an increased focused on career technical education is the need to adequately prepare students for the real world.  This is best accomplished through project-based experiences inside and outside of class, including work-based learning experiences and service learning, both of which allow students to apply what they learn in class.  To support this increased focus, the College added </w:t>
      </w:r>
      <w:r w:rsidRPr="00511672">
        <w:t>a fifth ILO</w:t>
      </w:r>
      <w:r>
        <w:t>.</w:t>
      </w:r>
    </w:p>
    <w:p w14:paraId="6B0D7383" w14:textId="77777777" w:rsidR="0003285B" w:rsidRPr="00E86A3F" w:rsidRDefault="0003285B" w:rsidP="00EC3222">
      <w:pPr>
        <w:pStyle w:val="ListParagraph"/>
        <w:spacing w:after="0" w:line="240" w:lineRule="auto"/>
        <w:ind w:left="360" w:firstLine="360"/>
        <w:rPr>
          <w:sz w:val="16"/>
          <w:szCs w:val="16"/>
        </w:rPr>
      </w:pPr>
    </w:p>
    <w:p w14:paraId="7E156498" w14:textId="5114EC7D" w:rsidR="0003285B" w:rsidRPr="00CA673B" w:rsidRDefault="0003285B" w:rsidP="00CA673B">
      <w:pPr>
        <w:pStyle w:val="ListParagraph"/>
        <w:spacing w:after="0" w:line="240" w:lineRule="auto"/>
        <w:rPr>
          <w:i/>
          <w:sz w:val="24"/>
          <w:szCs w:val="24"/>
        </w:rPr>
      </w:pPr>
      <w:r w:rsidRPr="00CA673B">
        <w:rPr>
          <w:i/>
          <w:sz w:val="24"/>
          <w:szCs w:val="24"/>
        </w:rPr>
        <w:t>“Demonstrate a level of engagement in the subject matter that enables and motivates the integration of acquired knowledge and skills beyond the classroom</w:t>
      </w:r>
      <w:r w:rsidRPr="00511672">
        <w:rPr>
          <w:i/>
          <w:sz w:val="24"/>
          <w:szCs w:val="24"/>
        </w:rPr>
        <w:t>.  (</w:t>
      </w:r>
      <w:hyperlink r:id="rId13" w:history="1">
        <w:r w:rsidRPr="00511672">
          <w:rPr>
            <w:rStyle w:val="Hyperlink"/>
            <w:bCs/>
            <w:i/>
            <w:sz w:val="24"/>
            <w:szCs w:val="24"/>
          </w:rPr>
          <w:t>Authentic Engagement</w:t>
        </w:r>
      </w:hyperlink>
      <w:r w:rsidRPr="00511672">
        <w:rPr>
          <w:bCs/>
          <w:i/>
          <w:sz w:val="24"/>
          <w:szCs w:val="24"/>
        </w:rPr>
        <w:t>)</w:t>
      </w:r>
      <w:r w:rsidRPr="00CA673B">
        <w:rPr>
          <w:bCs/>
          <w:i/>
          <w:sz w:val="24"/>
          <w:szCs w:val="24"/>
        </w:rPr>
        <w:t>”</w:t>
      </w:r>
      <w:r w:rsidR="00511672" w:rsidRPr="00511672">
        <w:rPr>
          <w:rStyle w:val="EndnoteReference"/>
        </w:rPr>
        <w:t xml:space="preserve"> </w:t>
      </w:r>
      <w:r w:rsidR="00511672">
        <w:rPr>
          <w:rStyle w:val="EndnoteReference"/>
        </w:rPr>
        <w:endnoteReference w:id="7"/>
      </w:r>
    </w:p>
    <w:p w14:paraId="15C10CBD" w14:textId="77777777" w:rsidR="0003285B" w:rsidRDefault="0003285B" w:rsidP="00EC3222">
      <w:pPr>
        <w:ind w:left="720"/>
        <w:rPr>
          <w:i/>
        </w:rPr>
      </w:pPr>
    </w:p>
    <w:p w14:paraId="2A126955" w14:textId="79CEC4EA" w:rsidR="0003285B" w:rsidRDefault="0003285B" w:rsidP="00EC3222">
      <w:pPr>
        <w:numPr>
          <w:ilvl w:val="0"/>
          <w:numId w:val="5"/>
        </w:numPr>
      </w:pPr>
      <w:r>
        <w:t xml:space="preserve">Inclusion of language that facilitates attainment of the baccalaureate degree in the College’s Mission: In 2014, the California Community Colleges Chancellor’s Office moved forward with a proposal to pilot the granting of baccalaureate degree at the community college, targeting non-competing career technical education programs that were not already offered at California State University or the University of California.  In preparation for this initiative, Santa Monica College expanded </w:t>
      </w:r>
      <w:hyperlink r:id="rId14" w:history="1">
        <w:r w:rsidRPr="006B3CB7">
          <w:rPr>
            <w:rStyle w:val="Hyperlink"/>
          </w:rPr>
          <w:t>its Mission</w:t>
        </w:r>
      </w:hyperlink>
      <w:r>
        <w:t xml:space="preserve"> to reflect this new area of emphasis.</w:t>
      </w:r>
      <w:r>
        <w:rPr>
          <w:rStyle w:val="EndnoteReference"/>
        </w:rPr>
        <w:endnoteReference w:id="8"/>
      </w:r>
      <w:r>
        <w:t xml:space="preserve">  </w:t>
      </w:r>
    </w:p>
    <w:p w14:paraId="1F5F9DF9" w14:textId="77777777" w:rsidR="0003285B" w:rsidRPr="00E86A3F" w:rsidRDefault="0003285B" w:rsidP="00EC3222">
      <w:pPr>
        <w:rPr>
          <w:sz w:val="16"/>
          <w:szCs w:val="16"/>
        </w:rPr>
      </w:pPr>
    </w:p>
    <w:p w14:paraId="323C26DC" w14:textId="77777777" w:rsidR="0003285B" w:rsidRDefault="0003285B" w:rsidP="00CA673B">
      <w:pPr>
        <w:ind w:left="720"/>
      </w:pPr>
      <w:r>
        <w:rPr>
          <w:i/>
        </w:rPr>
        <w:t>“…</w:t>
      </w:r>
      <w:r w:rsidRPr="00A561F9">
        <w:rPr>
          <w:i/>
        </w:rPr>
        <w:t>participates in partnerships with other colleges and universities to facilitate access to baccalaureate and higher degrees.</w:t>
      </w:r>
      <w:r>
        <w:rPr>
          <w:i/>
        </w:rPr>
        <w:t>”</w:t>
      </w:r>
    </w:p>
    <w:p w14:paraId="48AB91C0" w14:textId="77777777" w:rsidR="0003285B" w:rsidRDefault="0003285B" w:rsidP="001D0003">
      <w:pPr>
        <w:ind w:left="720"/>
      </w:pPr>
    </w:p>
    <w:p w14:paraId="790345B1" w14:textId="46804DFC" w:rsidR="0003285B" w:rsidRDefault="0003285B" w:rsidP="001D0003">
      <w:r>
        <w:t xml:space="preserve">The College will continue to review and revise its Mission to accurately reflect its educational purpose as challenges and opportunities present themselves.  </w:t>
      </w:r>
    </w:p>
    <w:p w14:paraId="0D959A6E" w14:textId="77777777" w:rsidR="0003285B" w:rsidRDefault="0003285B" w:rsidP="001D0003"/>
    <w:p w14:paraId="3F521CA4" w14:textId="77777777" w:rsidR="0003285B" w:rsidRDefault="0003285B" w:rsidP="00171771">
      <w:pPr>
        <w:keepNext/>
        <w:rPr>
          <w:b/>
        </w:rPr>
      </w:pPr>
      <w:r>
        <w:rPr>
          <w:b/>
        </w:rPr>
        <w:t>Intended Students</w:t>
      </w:r>
    </w:p>
    <w:p w14:paraId="795CC13B" w14:textId="77777777" w:rsidR="0003285B" w:rsidRDefault="0003285B" w:rsidP="00171771">
      <w:pPr>
        <w:keepNext/>
        <w:rPr>
          <w:b/>
        </w:rPr>
      </w:pPr>
    </w:p>
    <w:p w14:paraId="4C219FA3" w14:textId="3E073BDA" w:rsidR="0003285B" w:rsidRDefault="0003285B" w:rsidP="00D91A62">
      <w:smartTag w:uri="urn:schemas-microsoft-com:office:smarttags" w:element="PlaceName">
        <w:r>
          <w:t>Santa Monica</w:t>
        </w:r>
      </w:smartTag>
      <w:r>
        <w:t xml:space="preserve"> </w:t>
      </w:r>
      <w:smartTag w:uri="urn:schemas-microsoft-com:office:smarttags" w:element="PlaceType">
        <w:r>
          <w:t>College</w:t>
        </w:r>
      </w:smartTag>
      <w:r>
        <w:t xml:space="preserve">’s </w:t>
      </w:r>
      <w:smartTag w:uri="urn:schemas-microsoft-com:office:smarttags" w:element="place">
        <w:r>
          <w:t>Mission</w:t>
        </w:r>
      </w:smartTag>
      <w:r>
        <w:t xml:space="preserve"> statement describes the students it intends to serve through its educational purposes.  The following chart provides an overview of the College’s educational purposes as described in the Mission and the student populations that the College intends to serve through those purposes.</w:t>
      </w:r>
    </w:p>
    <w:p w14:paraId="40F604CF" w14:textId="77777777" w:rsidR="0003285B" w:rsidRDefault="0003285B" w:rsidP="001D00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7038"/>
      </w:tblGrid>
      <w:tr w:rsidR="0003285B" w:rsidRPr="00F34707" w14:paraId="5D826FAE" w14:textId="77777777" w:rsidTr="00F7337B">
        <w:trPr>
          <w:tblHeader/>
        </w:trPr>
        <w:tc>
          <w:tcPr>
            <w:tcW w:w="2178" w:type="dxa"/>
          </w:tcPr>
          <w:p w14:paraId="392355D0" w14:textId="77777777" w:rsidR="0003285B" w:rsidRPr="00F34707" w:rsidRDefault="0003285B" w:rsidP="00D91A62">
            <w:pPr>
              <w:keepNext/>
              <w:jc w:val="center"/>
              <w:rPr>
                <w:rFonts w:asciiTheme="minorHAnsi" w:hAnsiTheme="minorHAnsi"/>
                <w:b/>
                <w:sz w:val="22"/>
              </w:rPr>
            </w:pPr>
            <w:r w:rsidRPr="00F34707">
              <w:rPr>
                <w:rFonts w:asciiTheme="minorHAnsi" w:hAnsiTheme="minorHAnsi"/>
                <w:b/>
                <w:sz w:val="22"/>
              </w:rPr>
              <w:t>Educational Purpose</w:t>
            </w:r>
          </w:p>
        </w:tc>
        <w:tc>
          <w:tcPr>
            <w:tcW w:w="7038" w:type="dxa"/>
          </w:tcPr>
          <w:p w14:paraId="1B9FD386" w14:textId="77777777" w:rsidR="0003285B" w:rsidRPr="00F34707" w:rsidRDefault="0003285B" w:rsidP="00D91A62">
            <w:pPr>
              <w:keepNext/>
              <w:jc w:val="center"/>
              <w:rPr>
                <w:rFonts w:asciiTheme="minorHAnsi" w:hAnsiTheme="minorHAnsi"/>
                <w:b/>
                <w:sz w:val="22"/>
              </w:rPr>
            </w:pPr>
            <w:r w:rsidRPr="00F34707">
              <w:rPr>
                <w:rFonts w:asciiTheme="minorHAnsi" w:hAnsiTheme="minorHAnsi"/>
                <w:b/>
                <w:sz w:val="22"/>
              </w:rPr>
              <w:t>Intended Student</w:t>
            </w:r>
          </w:p>
        </w:tc>
      </w:tr>
      <w:tr w:rsidR="0003285B" w:rsidRPr="00F34707" w14:paraId="68BA1161" w14:textId="77777777" w:rsidTr="00F7337B">
        <w:tc>
          <w:tcPr>
            <w:tcW w:w="2178" w:type="dxa"/>
          </w:tcPr>
          <w:p w14:paraId="7003424C" w14:textId="77777777" w:rsidR="0003285B" w:rsidRPr="00F34707" w:rsidRDefault="0003285B" w:rsidP="00D91A62">
            <w:pPr>
              <w:pStyle w:val="NoSpacing"/>
              <w:rPr>
                <w:rFonts w:asciiTheme="minorHAnsi" w:hAnsiTheme="minorHAnsi"/>
                <w:szCs w:val="24"/>
              </w:rPr>
            </w:pPr>
            <w:r w:rsidRPr="00F34707">
              <w:rPr>
                <w:rFonts w:asciiTheme="minorHAnsi" w:hAnsiTheme="minorHAnsi"/>
                <w:szCs w:val="24"/>
              </w:rPr>
              <w:t>Open and Affordable Access</w:t>
            </w:r>
          </w:p>
        </w:tc>
        <w:tc>
          <w:tcPr>
            <w:tcW w:w="7038" w:type="dxa"/>
          </w:tcPr>
          <w:p w14:paraId="48134084" w14:textId="45DD790C" w:rsidR="0003285B" w:rsidRPr="00F34707" w:rsidRDefault="0003285B" w:rsidP="00933690">
            <w:pPr>
              <w:pStyle w:val="NoSpacing"/>
              <w:keepNext/>
              <w:numPr>
                <w:ilvl w:val="0"/>
                <w:numId w:val="38"/>
              </w:numPr>
              <w:ind w:left="450"/>
              <w:rPr>
                <w:rFonts w:asciiTheme="minorHAnsi" w:hAnsiTheme="minorHAnsi"/>
                <w:szCs w:val="24"/>
              </w:rPr>
            </w:pPr>
            <w:r w:rsidRPr="00F34707">
              <w:rPr>
                <w:rFonts w:asciiTheme="minorHAnsi" w:hAnsiTheme="minorHAnsi"/>
                <w:szCs w:val="24"/>
              </w:rPr>
              <w:t>Low-income students</w:t>
            </w:r>
          </w:p>
          <w:p w14:paraId="259ED8CD" w14:textId="2D505AA3" w:rsidR="0003285B" w:rsidRPr="00F34707" w:rsidRDefault="0003285B" w:rsidP="00933690">
            <w:pPr>
              <w:pStyle w:val="NoSpacing"/>
              <w:keepNext/>
              <w:numPr>
                <w:ilvl w:val="0"/>
                <w:numId w:val="38"/>
              </w:numPr>
              <w:ind w:left="450"/>
              <w:rPr>
                <w:rFonts w:asciiTheme="minorHAnsi" w:hAnsiTheme="minorHAnsi"/>
                <w:szCs w:val="24"/>
              </w:rPr>
            </w:pPr>
            <w:r w:rsidRPr="00F34707">
              <w:rPr>
                <w:rFonts w:asciiTheme="minorHAnsi" w:hAnsiTheme="minorHAnsi"/>
                <w:szCs w:val="24"/>
              </w:rPr>
              <w:t>Students of all educational backgrounds, regardless of prior academic achievement</w:t>
            </w:r>
            <w:r>
              <w:rPr>
                <w:rFonts w:asciiTheme="minorHAnsi" w:hAnsiTheme="minorHAnsi"/>
                <w:szCs w:val="24"/>
              </w:rPr>
              <w:t xml:space="preserve">, including recent immigrants and non-native English speakers </w:t>
            </w:r>
          </w:p>
          <w:p w14:paraId="01123ED0" w14:textId="77777777" w:rsidR="0003285B" w:rsidRDefault="0003285B" w:rsidP="00933690">
            <w:pPr>
              <w:pStyle w:val="NoSpacing"/>
              <w:keepNext/>
              <w:numPr>
                <w:ilvl w:val="0"/>
                <w:numId w:val="38"/>
              </w:numPr>
              <w:ind w:left="450"/>
              <w:rPr>
                <w:rFonts w:asciiTheme="minorHAnsi" w:hAnsiTheme="minorHAnsi"/>
                <w:szCs w:val="24"/>
              </w:rPr>
            </w:pPr>
            <w:r w:rsidRPr="00F34707">
              <w:rPr>
                <w:rFonts w:asciiTheme="minorHAnsi" w:hAnsiTheme="minorHAnsi"/>
                <w:szCs w:val="24"/>
              </w:rPr>
              <w:t xml:space="preserve">Time- and place-bound students </w:t>
            </w:r>
          </w:p>
          <w:p w14:paraId="59F009F0" w14:textId="49A99099" w:rsidR="0003285B" w:rsidRPr="00F34707" w:rsidRDefault="0003285B" w:rsidP="00C20F4E">
            <w:pPr>
              <w:pStyle w:val="NoSpacing"/>
              <w:keepNext/>
              <w:numPr>
                <w:ilvl w:val="0"/>
                <w:numId w:val="38"/>
              </w:numPr>
              <w:ind w:left="450"/>
              <w:rPr>
                <w:rFonts w:asciiTheme="minorHAnsi" w:hAnsiTheme="minorHAnsi"/>
                <w:szCs w:val="24"/>
              </w:rPr>
            </w:pPr>
            <w:r>
              <w:rPr>
                <w:rFonts w:asciiTheme="minorHAnsi" w:hAnsiTheme="minorHAnsi"/>
                <w:szCs w:val="24"/>
              </w:rPr>
              <w:t>International students who contribute to the College’s diversity and the goals of the College’s Global Citizenship Initiative</w:t>
            </w:r>
          </w:p>
        </w:tc>
      </w:tr>
      <w:tr w:rsidR="0003285B" w:rsidRPr="00F34707" w14:paraId="40FAADA3" w14:textId="77777777" w:rsidTr="00F7337B">
        <w:tc>
          <w:tcPr>
            <w:tcW w:w="2178" w:type="dxa"/>
          </w:tcPr>
          <w:p w14:paraId="4539A43C" w14:textId="77777777" w:rsidR="0003285B" w:rsidRPr="00F34707" w:rsidRDefault="0003285B" w:rsidP="00CF69B6">
            <w:pPr>
              <w:pStyle w:val="NoSpacing"/>
              <w:rPr>
                <w:rFonts w:asciiTheme="minorHAnsi" w:hAnsiTheme="minorHAnsi"/>
                <w:szCs w:val="24"/>
              </w:rPr>
            </w:pPr>
            <w:r w:rsidRPr="00F34707">
              <w:rPr>
                <w:rFonts w:asciiTheme="minorHAnsi" w:hAnsiTheme="minorHAnsi"/>
                <w:szCs w:val="24"/>
              </w:rPr>
              <w:t>Inclusive Learning Environment</w:t>
            </w:r>
          </w:p>
        </w:tc>
        <w:tc>
          <w:tcPr>
            <w:tcW w:w="7038" w:type="dxa"/>
          </w:tcPr>
          <w:p w14:paraId="4F5E5E26" w14:textId="5913DC76"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of all ages and socioeconomic backgrounds</w:t>
            </w:r>
          </w:p>
          <w:p w14:paraId="724EB52A" w14:textId="1F6EBF8C"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traditionally underrepresented in postsecondary education</w:t>
            </w:r>
          </w:p>
          <w:p w14:paraId="5088F289" w14:textId="76B70EDC"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Disabled students</w:t>
            </w:r>
          </w:p>
          <w:p w14:paraId="30CD495D" w14:textId="67C2062E"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who are or once were in foster care</w:t>
            </w:r>
          </w:p>
          <w:p w14:paraId="4E843539" w14:textId="19740115"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lastRenderedPageBreak/>
              <w:t>Veterans</w:t>
            </w:r>
          </w:p>
        </w:tc>
      </w:tr>
      <w:tr w:rsidR="0003285B" w:rsidRPr="00F34707" w14:paraId="6AD3C0F4" w14:textId="77777777" w:rsidTr="00F7337B">
        <w:tc>
          <w:tcPr>
            <w:tcW w:w="2178" w:type="dxa"/>
          </w:tcPr>
          <w:p w14:paraId="6BE42F90" w14:textId="480A370E" w:rsidR="0003285B" w:rsidRPr="00F34707" w:rsidRDefault="0003285B" w:rsidP="00CF69B6">
            <w:pPr>
              <w:pStyle w:val="NoSpacing"/>
              <w:rPr>
                <w:rFonts w:asciiTheme="minorHAnsi" w:hAnsiTheme="minorHAnsi"/>
                <w:szCs w:val="24"/>
              </w:rPr>
            </w:pPr>
            <w:r w:rsidRPr="00F34707">
              <w:rPr>
                <w:rFonts w:asciiTheme="minorHAnsi" w:hAnsiTheme="minorHAnsi"/>
                <w:szCs w:val="24"/>
              </w:rPr>
              <w:lastRenderedPageBreak/>
              <w:t>College-Level Preparation and Developmental Education</w:t>
            </w:r>
          </w:p>
        </w:tc>
        <w:tc>
          <w:tcPr>
            <w:tcW w:w="7038" w:type="dxa"/>
          </w:tcPr>
          <w:p w14:paraId="2C018FFD" w14:textId="7AB1A31E"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High school students in dual or concurrent enrollment</w:t>
            </w:r>
          </w:p>
          <w:p w14:paraId="52FDAD4F" w14:textId="20411EC4"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underprepared for college-level coursework</w:t>
            </w:r>
          </w:p>
          <w:p w14:paraId="68EE85B7" w14:textId="2F054FF2"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who did not complete high school</w:t>
            </w:r>
          </w:p>
          <w:p w14:paraId="218CAB67" w14:textId="79D8CA28"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who underperformed or underachieved in high school</w:t>
            </w:r>
          </w:p>
          <w:p w14:paraId="2C9853CE" w14:textId="0CD0592B"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Older students who are returning to school</w:t>
            </w:r>
          </w:p>
        </w:tc>
      </w:tr>
      <w:tr w:rsidR="0003285B" w:rsidRPr="00F34707" w14:paraId="5C93EC86" w14:textId="77777777" w:rsidTr="00F7337B">
        <w:tc>
          <w:tcPr>
            <w:tcW w:w="2178" w:type="dxa"/>
          </w:tcPr>
          <w:p w14:paraId="589E368B" w14:textId="77777777" w:rsidR="0003285B" w:rsidRPr="00F34707" w:rsidRDefault="0003285B" w:rsidP="00CF69B6">
            <w:pPr>
              <w:pStyle w:val="NoSpacing"/>
              <w:rPr>
                <w:rFonts w:asciiTheme="minorHAnsi" w:hAnsiTheme="minorHAnsi"/>
                <w:szCs w:val="24"/>
              </w:rPr>
            </w:pPr>
            <w:r w:rsidRPr="00F34707">
              <w:rPr>
                <w:rFonts w:asciiTheme="minorHAnsi" w:hAnsiTheme="minorHAnsi"/>
                <w:szCs w:val="24"/>
              </w:rPr>
              <w:t>Career Preparation (Career Training)</w:t>
            </w:r>
          </w:p>
        </w:tc>
        <w:tc>
          <w:tcPr>
            <w:tcW w:w="7038" w:type="dxa"/>
          </w:tcPr>
          <w:p w14:paraId="489F4D89" w14:textId="515CCE3A"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seeking to enter</w:t>
            </w:r>
            <w:r>
              <w:rPr>
                <w:rFonts w:asciiTheme="minorHAnsi" w:hAnsiTheme="minorHAnsi"/>
                <w:szCs w:val="24"/>
              </w:rPr>
              <w:t>/re-enter</w:t>
            </w:r>
            <w:r w:rsidRPr="00F34707">
              <w:rPr>
                <w:rFonts w:asciiTheme="minorHAnsi" w:hAnsiTheme="minorHAnsi"/>
                <w:szCs w:val="24"/>
              </w:rPr>
              <w:t xml:space="preserve"> the workforce</w:t>
            </w:r>
          </w:p>
          <w:p w14:paraId="226E4ED9" w14:textId="4EEAA36C"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Currently employed individuals who are seeking to expand and/or update skills</w:t>
            </w:r>
            <w:r>
              <w:rPr>
                <w:rFonts w:asciiTheme="minorHAnsi" w:hAnsiTheme="minorHAnsi"/>
                <w:szCs w:val="24"/>
              </w:rPr>
              <w:t>, or post-retirement individuals seeking a second career</w:t>
            </w:r>
          </w:p>
          <w:p w14:paraId="7CD398A5" w14:textId="243A79FA"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Employers seeking to upgrade the skills of their employees</w:t>
            </w:r>
          </w:p>
        </w:tc>
      </w:tr>
      <w:tr w:rsidR="0003285B" w:rsidRPr="00F34707" w14:paraId="13615F1E" w14:textId="77777777" w:rsidTr="00F7337B">
        <w:tc>
          <w:tcPr>
            <w:tcW w:w="2178" w:type="dxa"/>
          </w:tcPr>
          <w:p w14:paraId="31E5B0D0" w14:textId="77777777" w:rsidR="0003285B" w:rsidRPr="00F34707" w:rsidRDefault="0003285B" w:rsidP="00CF69B6">
            <w:pPr>
              <w:pStyle w:val="NoSpacing"/>
              <w:rPr>
                <w:rFonts w:asciiTheme="minorHAnsi" w:hAnsiTheme="minorHAnsi"/>
                <w:szCs w:val="24"/>
              </w:rPr>
            </w:pPr>
            <w:r w:rsidRPr="00F34707">
              <w:rPr>
                <w:rFonts w:asciiTheme="minorHAnsi" w:hAnsiTheme="minorHAnsi"/>
                <w:szCs w:val="24"/>
              </w:rPr>
              <w:t>Transfer Preparation</w:t>
            </w:r>
          </w:p>
        </w:tc>
        <w:tc>
          <w:tcPr>
            <w:tcW w:w="7038" w:type="dxa"/>
          </w:tcPr>
          <w:p w14:paraId="0405A270" w14:textId="77777777" w:rsidR="0003285B"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pursuing a baccalaureate degree</w:t>
            </w:r>
          </w:p>
          <w:p w14:paraId="53BCF720" w14:textId="5992C30F" w:rsidR="0003285B" w:rsidRPr="00F34707" w:rsidRDefault="0003285B" w:rsidP="00C20F4E">
            <w:pPr>
              <w:pStyle w:val="NoSpacing"/>
              <w:numPr>
                <w:ilvl w:val="0"/>
                <w:numId w:val="38"/>
              </w:numPr>
              <w:ind w:left="450"/>
              <w:rPr>
                <w:rFonts w:asciiTheme="minorHAnsi" w:hAnsiTheme="minorHAnsi"/>
                <w:szCs w:val="24"/>
              </w:rPr>
            </w:pPr>
            <w:r>
              <w:rPr>
                <w:rFonts w:asciiTheme="minorHAnsi" w:hAnsiTheme="minorHAnsi"/>
                <w:szCs w:val="24"/>
              </w:rPr>
              <w:t>Students enrolled at other community colleges or four-year institutions seeking to accelerate their progress toward degree completion</w:t>
            </w:r>
          </w:p>
        </w:tc>
      </w:tr>
      <w:tr w:rsidR="0003285B" w:rsidRPr="00F34707" w14:paraId="25287247" w14:textId="77777777" w:rsidTr="00F7337B">
        <w:tc>
          <w:tcPr>
            <w:tcW w:w="2178" w:type="dxa"/>
          </w:tcPr>
          <w:p w14:paraId="198AC93C" w14:textId="6951F62A" w:rsidR="0003285B" w:rsidRPr="00F34707" w:rsidRDefault="0003285B" w:rsidP="00CF69B6">
            <w:pPr>
              <w:pStyle w:val="NoSpacing"/>
              <w:rPr>
                <w:rFonts w:asciiTheme="minorHAnsi" w:hAnsiTheme="minorHAnsi"/>
                <w:szCs w:val="24"/>
              </w:rPr>
            </w:pPr>
            <w:r w:rsidRPr="00F34707">
              <w:rPr>
                <w:rFonts w:asciiTheme="minorHAnsi" w:hAnsiTheme="minorHAnsi"/>
                <w:szCs w:val="24"/>
              </w:rPr>
              <w:t>Associate’s Degree and Certificate of Achievement Programs</w:t>
            </w:r>
          </w:p>
        </w:tc>
        <w:tc>
          <w:tcPr>
            <w:tcW w:w="7038" w:type="dxa"/>
          </w:tcPr>
          <w:p w14:paraId="7C56B346" w14:textId="258AFBE2"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pursuing an associate’s degree and/or Certificate of Achievement</w:t>
            </w:r>
          </w:p>
        </w:tc>
      </w:tr>
      <w:tr w:rsidR="0003285B" w:rsidRPr="00F34707" w14:paraId="55A074DE" w14:textId="77777777" w:rsidTr="00F7337B">
        <w:tc>
          <w:tcPr>
            <w:tcW w:w="2178" w:type="dxa"/>
          </w:tcPr>
          <w:p w14:paraId="1BB4CC5C" w14:textId="77777777" w:rsidR="0003285B" w:rsidRPr="00F34707" w:rsidRDefault="0003285B" w:rsidP="00CF69B6">
            <w:pPr>
              <w:pStyle w:val="NoSpacing"/>
              <w:rPr>
                <w:rFonts w:asciiTheme="minorHAnsi" w:hAnsiTheme="minorHAnsi"/>
                <w:szCs w:val="24"/>
              </w:rPr>
            </w:pPr>
            <w:r w:rsidRPr="00F34707">
              <w:rPr>
                <w:rFonts w:asciiTheme="minorHAnsi" w:hAnsiTheme="minorHAnsi"/>
                <w:szCs w:val="24"/>
              </w:rPr>
              <w:t>Baccalaureate Degree Program</w:t>
            </w:r>
          </w:p>
        </w:tc>
        <w:tc>
          <w:tcPr>
            <w:tcW w:w="7038" w:type="dxa"/>
          </w:tcPr>
          <w:p w14:paraId="0210B29A" w14:textId="5C080AE3"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pursuing a baccalaureate degree in targeted career technical education programs</w:t>
            </w:r>
          </w:p>
        </w:tc>
      </w:tr>
      <w:tr w:rsidR="0003285B" w:rsidRPr="00F34707" w14:paraId="707C79EF" w14:textId="77777777" w:rsidTr="00F7337B">
        <w:tc>
          <w:tcPr>
            <w:tcW w:w="2178" w:type="dxa"/>
          </w:tcPr>
          <w:p w14:paraId="07B047F7" w14:textId="77777777" w:rsidR="0003285B" w:rsidRPr="00F34707" w:rsidRDefault="0003285B" w:rsidP="00CF69B6">
            <w:pPr>
              <w:pStyle w:val="NoSpacing"/>
              <w:rPr>
                <w:rFonts w:asciiTheme="minorHAnsi" w:hAnsiTheme="minorHAnsi"/>
                <w:szCs w:val="24"/>
              </w:rPr>
            </w:pPr>
            <w:r w:rsidRPr="00F34707">
              <w:rPr>
                <w:rFonts w:asciiTheme="minorHAnsi" w:hAnsiTheme="minorHAnsi"/>
                <w:szCs w:val="24"/>
              </w:rPr>
              <w:t>Lifelong Learning</w:t>
            </w:r>
          </w:p>
        </w:tc>
        <w:tc>
          <w:tcPr>
            <w:tcW w:w="7038" w:type="dxa"/>
          </w:tcPr>
          <w:p w14:paraId="10C574A6" w14:textId="3B96895F"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eligible for Emeritus College (older students)</w:t>
            </w:r>
          </w:p>
          <w:p w14:paraId="0218B456" w14:textId="1920D25D" w:rsidR="0003285B" w:rsidRPr="00F34707"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taking Community Education classes</w:t>
            </w:r>
          </w:p>
          <w:p w14:paraId="70605717" w14:textId="77777777" w:rsidR="0003285B" w:rsidRDefault="0003285B" w:rsidP="00933690">
            <w:pPr>
              <w:pStyle w:val="NoSpacing"/>
              <w:numPr>
                <w:ilvl w:val="0"/>
                <w:numId w:val="38"/>
              </w:numPr>
              <w:ind w:left="450"/>
              <w:rPr>
                <w:rFonts w:asciiTheme="minorHAnsi" w:hAnsiTheme="minorHAnsi"/>
                <w:szCs w:val="24"/>
              </w:rPr>
            </w:pPr>
            <w:r w:rsidRPr="00F34707">
              <w:rPr>
                <w:rFonts w:asciiTheme="minorHAnsi" w:hAnsiTheme="minorHAnsi"/>
                <w:szCs w:val="24"/>
              </w:rPr>
              <w:t>Students enrolled in ABE/GED/ESL adult education classes</w:t>
            </w:r>
          </w:p>
          <w:p w14:paraId="08CB0B48" w14:textId="5113EC14" w:rsidR="0003285B" w:rsidRPr="00F34707" w:rsidRDefault="0003285B" w:rsidP="00933690">
            <w:pPr>
              <w:pStyle w:val="NoSpacing"/>
              <w:numPr>
                <w:ilvl w:val="0"/>
                <w:numId w:val="38"/>
              </w:numPr>
              <w:ind w:left="450"/>
              <w:rPr>
                <w:rFonts w:asciiTheme="minorHAnsi" w:hAnsiTheme="minorHAnsi"/>
                <w:szCs w:val="24"/>
              </w:rPr>
            </w:pPr>
            <w:r>
              <w:rPr>
                <w:rFonts w:asciiTheme="minorHAnsi" w:hAnsiTheme="minorHAnsi"/>
                <w:szCs w:val="24"/>
              </w:rPr>
              <w:t>Students who have already earned postsecondary degrees but are returning for retraining, new AA degrees and/or personal enrichment</w:t>
            </w:r>
          </w:p>
        </w:tc>
      </w:tr>
    </w:tbl>
    <w:p w14:paraId="725EC02C" w14:textId="77777777" w:rsidR="0003285B" w:rsidRDefault="0003285B" w:rsidP="001D0003"/>
    <w:p w14:paraId="1BC679F3" w14:textId="2EA5943D" w:rsidR="0003285B" w:rsidRDefault="0003285B" w:rsidP="001D0003">
      <w:r>
        <w:t xml:space="preserve">Students enroll for a variety of reasons, </w:t>
      </w:r>
      <w:r w:rsidR="00F7337B">
        <w:t xml:space="preserve">but </w:t>
      </w:r>
      <w:hyperlink r:id="rId15" w:history="1">
        <w:r w:rsidRPr="00153F6C">
          <w:rPr>
            <w:rStyle w:val="Hyperlink"/>
          </w:rPr>
          <w:t>transfer</w:t>
        </w:r>
      </w:hyperlink>
      <w:r>
        <w:t xml:space="preserve"> is far and away </w:t>
      </w:r>
      <w:r w:rsidRPr="00153F6C">
        <w:t>the primary reason</w:t>
      </w:r>
      <w:r>
        <w:t xml:space="preserve"> that students enroll at Santa Monica College.</w:t>
      </w:r>
      <w:r>
        <w:rPr>
          <w:rStyle w:val="EndnoteReference"/>
        </w:rPr>
        <w:endnoteReference w:id="9"/>
      </w:r>
      <w:r w:rsidR="00F7337B">
        <w:t xml:space="preserve"> </w:t>
      </w:r>
      <w:r>
        <w:t xml:space="preserve">The College supports many other student needs: Emeritus College serves the lifelong learning needs older adults; the Adult Education (noncredit) program serves individuals seeking to become US citizens and/or improve their English language skills; Workforce Development addresses the short-term training needs of local employers; and Community Education serves those seeking personal/professional enrichment.  The College also provides cultural programs through partnerships with community-based organizations such as </w:t>
      </w:r>
      <w:hyperlink r:id="rId16" w:history="1">
        <w:r w:rsidRPr="00500E5F">
          <w:rPr>
            <w:rStyle w:val="Hyperlink"/>
          </w:rPr>
          <w:t>P.S. Arts,</w:t>
        </w:r>
      </w:hyperlink>
      <w:r>
        <w:rPr>
          <w:rStyle w:val="EndnoteReference"/>
        </w:rPr>
        <w:endnoteReference w:id="10"/>
      </w:r>
      <w:r>
        <w:t xml:space="preserve"> and the </w:t>
      </w:r>
      <w:hyperlink r:id="rId17" w:history="1">
        <w:r w:rsidRPr="00500E5F">
          <w:rPr>
            <w:rStyle w:val="Hyperlink"/>
          </w:rPr>
          <w:t>Madison Project</w:t>
        </w:r>
      </w:hyperlink>
      <w:r w:rsidR="004F3B94">
        <w:rPr>
          <w:rStyle w:val="EndnoteReference"/>
        </w:rPr>
        <w:endnoteReference w:id="11"/>
      </w:r>
      <w:r>
        <w:t xml:space="preserve"> to introduce professional arts to approximately 1,000 school children each year.  </w:t>
      </w:r>
    </w:p>
    <w:p w14:paraId="2CFE0EEA" w14:textId="77777777" w:rsidR="0003285B" w:rsidRDefault="0003285B" w:rsidP="001D0003"/>
    <w:p w14:paraId="414C5BDE" w14:textId="7BD8F2A7" w:rsidR="0003285B" w:rsidRPr="007F6B65" w:rsidRDefault="0003285B" w:rsidP="007F6B65">
      <w:pPr>
        <w:pStyle w:val="NoSpacing"/>
        <w:rPr>
          <w:rFonts w:ascii="Times New Roman" w:hAnsi="Times New Roman"/>
          <w:sz w:val="24"/>
          <w:szCs w:val="24"/>
        </w:rPr>
      </w:pPr>
      <w:r w:rsidRPr="0054000E">
        <w:rPr>
          <w:rFonts w:ascii="Times New Roman" w:hAnsi="Times New Roman"/>
          <w:sz w:val="24"/>
          <w:szCs w:val="24"/>
        </w:rPr>
        <w:t xml:space="preserve">With regard to Distance Education, Santa Monica College </w:t>
      </w:r>
      <w:r>
        <w:rPr>
          <w:rFonts w:ascii="Times New Roman" w:hAnsi="Times New Roman"/>
          <w:sz w:val="24"/>
          <w:szCs w:val="24"/>
        </w:rPr>
        <w:t>has the seventh largest Distance E</w:t>
      </w:r>
      <w:r w:rsidRPr="0054000E">
        <w:rPr>
          <w:rFonts w:ascii="Times New Roman" w:hAnsi="Times New Roman"/>
          <w:sz w:val="24"/>
          <w:szCs w:val="24"/>
        </w:rPr>
        <w:t xml:space="preserve">ducation program among community colleges in California, according </w:t>
      </w:r>
      <w:r>
        <w:rPr>
          <w:rFonts w:ascii="Times New Roman" w:hAnsi="Times New Roman"/>
          <w:sz w:val="24"/>
          <w:szCs w:val="24"/>
        </w:rPr>
        <w:t xml:space="preserve">to </w:t>
      </w:r>
      <w:r w:rsidRPr="0054000E">
        <w:rPr>
          <w:rFonts w:ascii="Times New Roman" w:hAnsi="Times New Roman"/>
          <w:sz w:val="24"/>
          <w:szCs w:val="24"/>
        </w:rPr>
        <w:t xml:space="preserve">the California Community Colleges Chancellor’s Office.  </w:t>
      </w:r>
      <w:r w:rsidRPr="007F6B65">
        <w:rPr>
          <w:rFonts w:ascii="Times New Roman" w:hAnsi="Times New Roman"/>
          <w:sz w:val="24"/>
          <w:szCs w:val="24"/>
        </w:rPr>
        <w:t xml:space="preserve">The intent of the College’s Distance Education program is to provide online instructional and student support options to time- and place-bound students that mirror resources and programming available on campus. </w:t>
      </w:r>
      <w:r w:rsidRPr="0054000E">
        <w:rPr>
          <w:rFonts w:ascii="Times New Roman" w:hAnsi="Times New Roman"/>
          <w:sz w:val="24"/>
          <w:szCs w:val="24"/>
        </w:rPr>
        <w:t xml:space="preserve">Serving more </w:t>
      </w:r>
      <w:r w:rsidR="000E54D8">
        <w:rPr>
          <w:rFonts w:ascii="Times New Roman" w:hAnsi="Times New Roman"/>
          <w:sz w:val="24"/>
          <w:szCs w:val="24"/>
        </w:rPr>
        <w:t xml:space="preserve">than 6,500 </w:t>
      </w:r>
      <w:r w:rsidR="000E54D8" w:rsidRPr="000E54D8">
        <w:rPr>
          <w:rFonts w:ascii="Times New Roman" w:hAnsi="Times New Roman"/>
          <w:sz w:val="24"/>
          <w:szCs w:val="24"/>
        </w:rPr>
        <w:lastRenderedPageBreak/>
        <w:t>students in Fall 2013</w:t>
      </w:r>
      <w:r w:rsidRPr="000E54D8">
        <w:rPr>
          <w:rFonts w:ascii="Times New Roman" w:hAnsi="Times New Roman"/>
          <w:sz w:val="24"/>
          <w:szCs w:val="24"/>
        </w:rPr>
        <w:t xml:space="preserve">, Santa Monica College’s </w:t>
      </w:r>
      <w:hyperlink r:id="rId18" w:history="1">
        <w:r w:rsidRPr="000E54D8">
          <w:rPr>
            <w:rStyle w:val="Hyperlink"/>
            <w:rFonts w:ascii="Times New Roman" w:hAnsi="Times New Roman"/>
            <w:sz w:val="24"/>
            <w:szCs w:val="24"/>
          </w:rPr>
          <w:t>online enrollment</w:t>
        </w:r>
      </w:hyperlink>
      <w:r w:rsidRPr="000E54D8">
        <w:rPr>
          <w:rFonts w:ascii="Times New Roman" w:hAnsi="Times New Roman"/>
          <w:sz w:val="24"/>
          <w:szCs w:val="24"/>
        </w:rPr>
        <w:t xml:space="preserve"> makes up roughly 20% of the </w:t>
      </w:r>
      <w:r w:rsidR="000E54D8" w:rsidRPr="000E54D8">
        <w:rPr>
          <w:rFonts w:ascii="Times New Roman" w:hAnsi="Times New Roman"/>
          <w:sz w:val="24"/>
          <w:szCs w:val="24"/>
        </w:rPr>
        <w:t>Fall 2013</w:t>
      </w:r>
      <w:r w:rsidRPr="000E54D8">
        <w:rPr>
          <w:rFonts w:ascii="Times New Roman" w:hAnsi="Times New Roman"/>
          <w:sz w:val="24"/>
          <w:szCs w:val="24"/>
        </w:rPr>
        <w:t xml:space="preserve"> enrollment</w:t>
      </w:r>
      <w:r>
        <w:rPr>
          <w:rFonts w:ascii="Times New Roman" w:hAnsi="Times New Roman"/>
          <w:sz w:val="24"/>
          <w:szCs w:val="24"/>
        </w:rPr>
        <w:t xml:space="preserve"> with o</w:t>
      </w:r>
      <w:r w:rsidRPr="0054000E">
        <w:rPr>
          <w:rFonts w:ascii="Times New Roman" w:hAnsi="Times New Roman"/>
          <w:sz w:val="24"/>
          <w:szCs w:val="24"/>
        </w:rPr>
        <w:t>ne-third of these students enrolled solely in online classes</w:t>
      </w:r>
      <w:r>
        <w:rPr>
          <w:rFonts w:ascii="Times New Roman" w:hAnsi="Times New Roman"/>
          <w:sz w:val="24"/>
          <w:szCs w:val="24"/>
        </w:rPr>
        <w:t>; t</w:t>
      </w:r>
      <w:r w:rsidRPr="0054000E">
        <w:rPr>
          <w:rFonts w:ascii="Times New Roman" w:hAnsi="Times New Roman"/>
          <w:sz w:val="24"/>
          <w:szCs w:val="24"/>
        </w:rPr>
        <w:t>he majority take a combination of online and on-ground clas</w:t>
      </w:r>
      <w:r>
        <w:rPr>
          <w:rFonts w:ascii="Times New Roman" w:hAnsi="Times New Roman"/>
          <w:sz w:val="24"/>
          <w:szCs w:val="24"/>
        </w:rPr>
        <w:t>ses, including hybrid courses.</w:t>
      </w:r>
      <w:r>
        <w:rPr>
          <w:rStyle w:val="EndnoteReference"/>
          <w:rFonts w:ascii="Times New Roman" w:hAnsi="Times New Roman"/>
          <w:sz w:val="24"/>
          <w:szCs w:val="24"/>
        </w:rPr>
        <w:endnoteReference w:id="12"/>
      </w:r>
      <w:r>
        <w:t xml:space="preserve"> </w:t>
      </w:r>
    </w:p>
    <w:p w14:paraId="296D385B" w14:textId="77777777" w:rsidR="0003285B" w:rsidRDefault="0003285B" w:rsidP="001D0003"/>
    <w:p w14:paraId="29193472" w14:textId="54C587DF" w:rsidR="0003285B" w:rsidRDefault="0003285B" w:rsidP="003407BB">
      <w:pPr>
        <w:keepNext/>
        <w:rPr>
          <w:b/>
        </w:rPr>
      </w:pPr>
      <w:r>
        <w:rPr>
          <w:b/>
        </w:rPr>
        <w:t>Degrees and Certificates</w:t>
      </w:r>
    </w:p>
    <w:p w14:paraId="0761FA21" w14:textId="77777777" w:rsidR="0003285B" w:rsidRPr="003D4D36" w:rsidRDefault="0003285B" w:rsidP="003407BB">
      <w:pPr>
        <w:keepNext/>
        <w:rPr>
          <w:b/>
        </w:rPr>
      </w:pPr>
    </w:p>
    <w:p w14:paraId="46FDB941" w14:textId="109DC6E3" w:rsidR="0003285B" w:rsidRDefault="0003285B" w:rsidP="00D91A62">
      <w:pPr>
        <w:autoSpaceDE w:val="0"/>
        <w:autoSpaceDN w:val="0"/>
        <w:adjustRightInd w:val="0"/>
      </w:pPr>
      <w:r>
        <w:t xml:space="preserve">As indicated in the Mission statement, </w:t>
      </w:r>
      <w:r w:rsidR="00F7337B">
        <w:t xml:space="preserve">the </w:t>
      </w:r>
      <w:r>
        <w:t xml:space="preserve">College </w:t>
      </w:r>
      <w:r w:rsidRPr="0071715F">
        <w:t xml:space="preserve">offers </w:t>
      </w:r>
      <w:r w:rsidRPr="002D543E">
        <w:rPr>
          <w:i/>
        </w:rPr>
        <w:t>“high quality undergraduate degrees and certificates”</w:t>
      </w:r>
      <w:r>
        <w:t xml:space="preserve"> that prepare students for careers and/or transfer.  As of the 2014-2015 academic year, the College offers Associate in Arts and Associate in Science </w:t>
      </w:r>
      <w:hyperlink r:id="rId19" w:history="1">
        <w:r w:rsidRPr="00B2256C">
          <w:rPr>
            <w:rStyle w:val="Hyperlink"/>
          </w:rPr>
          <w:t>degrees</w:t>
        </w:r>
      </w:hyperlink>
      <w:r>
        <w:t xml:space="preserve"> in 58 areas of study, as well as 89 Certificates of Achievement and Departmental Certificates.</w:t>
      </w:r>
      <w:r>
        <w:rPr>
          <w:rStyle w:val="EndnoteReference"/>
        </w:rPr>
        <w:endnoteReference w:id="13"/>
      </w:r>
      <w:r>
        <w:t xml:space="preserve">  </w:t>
      </w:r>
    </w:p>
    <w:p w14:paraId="0EB8C32A" w14:textId="77777777" w:rsidR="0003285B" w:rsidRDefault="0003285B" w:rsidP="00363E27">
      <w:pPr>
        <w:autoSpaceDE w:val="0"/>
        <w:autoSpaceDN w:val="0"/>
        <w:adjustRightInd w:val="0"/>
      </w:pPr>
    </w:p>
    <w:p w14:paraId="5ECB2AAF" w14:textId="33EDC3B9" w:rsidR="0003285B" w:rsidRDefault="0003285B" w:rsidP="00D553D6">
      <w:pPr>
        <w:autoSpaceDE w:val="0"/>
        <w:autoSpaceDN w:val="0"/>
        <w:adjustRightInd w:val="0"/>
      </w:pPr>
      <w:r>
        <w:t>Over the last several years</w:t>
      </w:r>
      <w:r w:rsidR="00F7337B">
        <w:t>,</w:t>
      </w:r>
      <w:r>
        <w:t xml:space="preserve"> the College developed seven new Associate in Science degrees, two new Associate in Arts degrees, and eight new Certificates of Achievement.  Additionally, </w:t>
      </w:r>
      <w:r w:rsidR="00F7337B">
        <w:t>the</w:t>
      </w:r>
      <w:r w:rsidRPr="00EA173A">
        <w:rPr>
          <w:bCs/>
        </w:rPr>
        <w:t xml:space="preserve"> College </w:t>
      </w:r>
      <w:r>
        <w:rPr>
          <w:bCs/>
        </w:rPr>
        <w:t xml:space="preserve">has 15 </w:t>
      </w:r>
      <w:r w:rsidR="00F7337B">
        <w:rPr>
          <w:bCs/>
        </w:rPr>
        <w:t xml:space="preserve">approved </w:t>
      </w:r>
      <w:r>
        <w:rPr>
          <w:bCs/>
        </w:rPr>
        <w:t>Associate Degrees for Transfer (AD-Ts)</w:t>
      </w:r>
      <w:r w:rsidR="00F7337B">
        <w:rPr>
          <w:bCs/>
        </w:rPr>
        <w:t xml:space="preserve"> </w:t>
      </w:r>
      <w:r>
        <w:rPr>
          <w:bCs/>
        </w:rPr>
        <w:t xml:space="preserve">– two more than required by the Chancellor’s Office.  An overview of the </w:t>
      </w:r>
      <w:hyperlink r:id="rId20" w:history="1">
        <w:r w:rsidRPr="00B2256C">
          <w:rPr>
            <w:rStyle w:val="Hyperlink"/>
            <w:bCs/>
          </w:rPr>
          <w:t>degrees and certificates</w:t>
        </w:r>
      </w:hyperlink>
      <w:r>
        <w:rPr>
          <w:bCs/>
        </w:rPr>
        <w:t xml:space="preserve"> offered by </w:t>
      </w:r>
      <w:r w:rsidR="00F7337B">
        <w:rPr>
          <w:bCs/>
        </w:rPr>
        <w:t xml:space="preserve">the </w:t>
      </w:r>
      <w:r>
        <w:rPr>
          <w:bCs/>
        </w:rPr>
        <w:t>College by area of study is included in evidence</w:t>
      </w:r>
      <w:r>
        <w:rPr>
          <w:rStyle w:val="EndnoteReference"/>
          <w:bCs/>
        </w:rPr>
        <w:endnoteReference w:id="14"/>
      </w:r>
      <w:r w:rsidR="00F7337B">
        <w:rPr>
          <w:bCs/>
        </w:rPr>
        <w:t xml:space="preserve"> as is an overview of the </w:t>
      </w:r>
      <w:hyperlink r:id="rId21" w:history="1">
        <w:r w:rsidR="00F7337B" w:rsidRPr="00D553D6">
          <w:rPr>
            <w:rStyle w:val="Hyperlink"/>
            <w:bCs/>
          </w:rPr>
          <w:t>approved AD-Ts</w:t>
        </w:r>
      </w:hyperlink>
      <w:r w:rsidR="00F7337B">
        <w:rPr>
          <w:bCs/>
        </w:rPr>
        <w:t>.</w:t>
      </w:r>
      <w:r w:rsidR="00F7337B">
        <w:rPr>
          <w:rStyle w:val="EndnoteReference"/>
          <w:bCs/>
        </w:rPr>
        <w:endnoteReference w:id="15"/>
      </w:r>
      <w:r>
        <w:rPr>
          <w:bCs/>
        </w:rPr>
        <w:t xml:space="preserve"> </w:t>
      </w:r>
      <w:r w:rsidR="00D553D6">
        <w:rPr>
          <w:bCs/>
        </w:rPr>
        <w:t>Finally, a</w:t>
      </w:r>
      <w:r w:rsidR="00D553D6">
        <w:t xml:space="preserve">s mentioned, </w:t>
      </w:r>
      <w:r>
        <w:t xml:space="preserve">the College </w:t>
      </w:r>
      <w:r w:rsidR="00D553D6">
        <w:t xml:space="preserve">recently </w:t>
      </w:r>
      <w:r>
        <w:t>updated its Mission to acknowledge its increased focus on helping students earn a baccalaureate degree</w:t>
      </w:r>
      <w:r w:rsidR="00D553D6">
        <w:t>.</w:t>
      </w:r>
      <w:r>
        <w:t xml:space="preserve">  </w:t>
      </w:r>
    </w:p>
    <w:p w14:paraId="33315D22" w14:textId="77777777" w:rsidR="0003285B" w:rsidRDefault="0003285B" w:rsidP="0074271A">
      <w:pPr>
        <w:pStyle w:val="Paragraphwdrop"/>
        <w:suppressAutoHyphens/>
        <w:spacing w:before="0" w:line="240" w:lineRule="auto"/>
        <w:ind w:firstLine="0"/>
        <w:jc w:val="left"/>
        <w:rPr>
          <w:rFonts w:ascii="Times New Roman" w:hAnsi="Times New Roman" w:cs="Times New Roman"/>
          <w:sz w:val="24"/>
          <w:szCs w:val="24"/>
        </w:rPr>
      </w:pPr>
    </w:p>
    <w:p w14:paraId="15F2CB81" w14:textId="77777777" w:rsidR="0003285B" w:rsidRPr="00E86A3F" w:rsidRDefault="0003285B" w:rsidP="00D91A62">
      <w:pPr>
        <w:pStyle w:val="Paragraphwdrop"/>
        <w:keepNext/>
        <w:widowControl/>
        <w:suppressAutoHyphens/>
        <w:spacing w:before="0" w:line="240" w:lineRule="auto"/>
        <w:ind w:firstLine="0"/>
        <w:jc w:val="left"/>
        <w:rPr>
          <w:rFonts w:ascii="Times New Roman" w:hAnsi="Times New Roman" w:cs="Times New Roman"/>
          <w:b/>
          <w:sz w:val="24"/>
          <w:szCs w:val="24"/>
        </w:rPr>
      </w:pPr>
      <w:r w:rsidRPr="00EC1E84">
        <w:rPr>
          <w:rFonts w:ascii="Times New Roman" w:hAnsi="Times New Roman" w:cs="Times New Roman"/>
          <w:b/>
          <w:sz w:val="24"/>
          <w:szCs w:val="24"/>
        </w:rPr>
        <w:t>Commitment to Student Learning and Achievement</w:t>
      </w:r>
    </w:p>
    <w:p w14:paraId="479DB933" w14:textId="77777777" w:rsidR="0003285B" w:rsidRDefault="0003285B" w:rsidP="003407BB">
      <w:pPr>
        <w:keepNext/>
      </w:pPr>
    </w:p>
    <w:p w14:paraId="1E75CF82" w14:textId="42EC13F8" w:rsidR="0003285B" w:rsidRPr="00EC1E84" w:rsidRDefault="0003285B" w:rsidP="00D91A62">
      <w:pPr>
        <w:rPr>
          <w:i/>
        </w:rPr>
      </w:pPr>
      <w:r>
        <w:t>The V</w:t>
      </w:r>
      <w:r w:rsidRPr="00EC1E84">
        <w:t xml:space="preserve">ision of Santa Monica College is to be </w:t>
      </w:r>
      <w:r w:rsidRPr="002D543E">
        <w:rPr>
          <w:i/>
        </w:rPr>
        <w:t>“a leader and innovator in learning and achievement.”</w:t>
      </w:r>
      <w:r w:rsidRPr="00EC1E84">
        <w:t xml:space="preserve">  A</w:t>
      </w:r>
      <w:r>
        <w:t>t the core of the</w:t>
      </w:r>
      <w:r w:rsidRPr="00EC1E84">
        <w:t xml:space="preserve"> College</w:t>
      </w:r>
      <w:r>
        <w:t>’s M</w:t>
      </w:r>
      <w:r w:rsidRPr="00EC1E84">
        <w:t>ission is the commitment “</w:t>
      </w:r>
      <w:r w:rsidRPr="00EC1E84">
        <w:rPr>
          <w:i/>
        </w:rPr>
        <w:t>to provide</w:t>
      </w:r>
      <w:r>
        <w:rPr>
          <w:i/>
        </w:rPr>
        <w:t xml:space="preserve"> </w:t>
      </w:r>
      <w:r w:rsidRPr="00EC1E84">
        <w:rPr>
          <w:i/>
        </w:rPr>
        <w:t xml:space="preserve">a safe and inclusive learning environment that encourages personal and intellectual exploration, and challenges and supports students in achieving their educational goals.” </w:t>
      </w:r>
      <w:r w:rsidRPr="00EC1E84">
        <w:t xml:space="preserve"> The College achieves this goal by offering an array of programs and services that “</w:t>
      </w:r>
      <w:r w:rsidRPr="00EC1E84">
        <w:rPr>
          <w:i/>
        </w:rPr>
        <w:t xml:space="preserve">assist students in the development of skills needed to succeed in college, prepare students for careers and transfer, and nurture a lifetime commitment to learning.” </w:t>
      </w:r>
    </w:p>
    <w:p w14:paraId="28A6782F" w14:textId="77777777" w:rsidR="0003285B" w:rsidRPr="00EC1E84" w:rsidRDefault="0003285B" w:rsidP="001D0003">
      <w:pPr>
        <w:rPr>
          <w:i/>
        </w:rPr>
      </w:pPr>
    </w:p>
    <w:p w14:paraId="155D6145" w14:textId="5437E754" w:rsidR="0003285B" w:rsidRPr="00EC1E84" w:rsidRDefault="0003285B" w:rsidP="00A30875">
      <w:r>
        <w:t xml:space="preserve">This Mission statement accurately reflects the College’s </w:t>
      </w:r>
      <w:r w:rsidRPr="00EC1E84">
        <w:t xml:space="preserve">many successful and ongoing </w:t>
      </w:r>
      <w:r>
        <w:t>instructional and</w:t>
      </w:r>
      <w:r w:rsidRPr="00EC1E84">
        <w:t xml:space="preserve"> student</w:t>
      </w:r>
      <w:r>
        <w:t xml:space="preserve"> support programs and services offered in support of student learning and achievement</w:t>
      </w:r>
      <w:r w:rsidRPr="00EC1E84">
        <w:t xml:space="preserve">.  The College recognizes that the combination of strong academic programs and a depth and range of support services are required to accomplish this.  </w:t>
      </w:r>
      <w:r>
        <w:t xml:space="preserve">For example, the College’s counseling staff and the breadth of support services they provide </w:t>
      </w:r>
      <w:r w:rsidRPr="00EC1E84">
        <w:t>reflect the institutional recognition that these services and interventions play a critical role</w:t>
      </w:r>
      <w:r>
        <w:t xml:space="preserve"> in student learning and success</w:t>
      </w:r>
      <w:r w:rsidRPr="00EC1E84">
        <w:t xml:space="preserve">.  </w:t>
      </w:r>
      <w:r>
        <w:t xml:space="preserve">According to Fall 2013 data reported in the </w:t>
      </w:r>
      <w:hyperlink r:id="rId22" w:history="1">
        <w:r w:rsidRPr="00B2256C">
          <w:rPr>
            <w:rStyle w:val="Hyperlink"/>
          </w:rPr>
          <w:t>2015 Institutional Effectiveness Report</w:t>
        </w:r>
      </w:hyperlink>
      <w:r w:rsidR="00B5575D" w:rsidRPr="00DC509F">
        <w:rPr>
          <w:rStyle w:val="EndnoteReference"/>
          <w:color w:val="0000FF"/>
        </w:rPr>
        <w:endnoteReference w:id="16"/>
      </w:r>
      <w:r w:rsidRPr="00DC509F">
        <w:t xml:space="preserve"> </w:t>
      </w:r>
      <w:r>
        <w:t xml:space="preserve">and </w:t>
      </w:r>
      <w:hyperlink r:id="rId23" w:history="1">
        <w:r w:rsidRPr="00B2256C">
          <w:rPr>
            <w:rStyle w:val="Hyperlink"/>
          </w:rPr>
          <w:t>Dashboard</w:t>
        </w:r>
      </w:hyperlink>
      <w:r>
        <w:t>,</w:t>
      </w:r>
      <w:r>
        <w:rPr>
          <w:rStyle w:val="EndnoteReference"/>
        </w:rPr>
        <w:endnoteReference w:id="17"/>
      </w:r>
      <w:r>
        <w:t xml:space="preserve"> Santa Monica College’s student-to-counselor ratio was 361 to 1, one of the best in the state, which is demonstrative of the College’s commitment to student learning and achievement.</w:t>
      </w:r>
    </w:p>
    <w:p w14:paraId="3A693E67" w14:textId="77777777" w:rsidR="0003285B" w:rsidRPr="00EC1E84" w:rsidRDefault="0003285B" w:rsidP="00145261">
      <w:pPr>
        <w:ind w:right="619"/>
      </w:pPr>
    </w:p>
    <w:p w14:paraId="1865C758" w14:textId="7761EF7F" w:rsidR="0003285B" w:rsidRDefault="0003285B" w:rsidP="00CB7BF6">
      <w:pPr>
        <w:pStyle w:val="Body1"/>
        <w:spacing w:after="0" w:line="240" w:lineRule="auto"/>
        <w:rPr>
          <w:rFonts w:ascii="Times New Roman" w:hAnsi="Times New Roman"/>
          <w:color w:val="auto"/>
          <w:sz w:val="24"/>
        </w:rPr>
      </w:pPr>
      <w:r>
        <w:rPr>
          <w:rFonts w:ascii="Times New Roman" w:hAnsi="Times New Roman"/>
          <w:color w:val="auto"/>
          <w:sz w:val="24"/>
        </w:rPr>
        <w:t xml:space="preserve">The College’s </w:t>
      </w:r>
      <w:hyperlink r:id="rId24" w:history="1">
        <w:r w:rsidRPr="003944AD">
          <w:rPr>
            <w:rStyle w:val="Hyperlink"/>
            <w:rFonts w:ascii="Times New Roman" w:hAnsi="Times New Roman"/>
            <w:sz w:val="24"/>
          </w:rPr>
          <w:t>First Year Experience (FYE) Program</w:t>
        </w:r>
      </w:hyperlink>
      <w:r>
        <w:rPr>
          <w:rFonts w:ascii="Times New Roman" w:hAnsi="Times New Roman"/>
          <w:color w:val="auto"/>
          <w:sz w:val="24"/>
        </w:rPr>
        <w:t>,</w:t>
      </w:r>
      <w:r w:rsidR="004E2C8D" w:rsidRPr="004E2C8D">
        <w:rPr>
          <w:rStyle w:val="EndnoteReference"/>
          <w:rFonts w:ascii="Times New Roman" w:hAnsi="Times New Roman"/>
          <w:color w:val="auto"/>
          <w:sz w:val="24"/>
        </w:rPr>
        <w:t xml:space="preserve"> </w:t>
      </w:r>
      <w:r w:rsidR="004E2C8D">
        <w:rPr>
          <w:rStyle w:val="EndnoteReference"/>
          <w:rFonts w:ascii="Times New Roman" w:hAnsi="Times New Roman"/>
          <w:color w:val="auto"/>
          <w:sz w:val="24"/>
        </w:rPr>
        <w:endnoteReference w:id="18"/>
      </w:r>
      <w:r>
        <w:rPr>
          <w:rFonts w:ascii="Times New Roman" w:hAnsi="Times New Roman"/>
          <w:color w:val="auto"/>
          <w:sz w:val="24"/>
        </w:rPr>
        <w:t xml:space="preserve"> which is designed to support first-year students and those traditionally underrepresented in higher education, also demonstrates how the Mission supports student learning and achievement by assisting in </w:t>
      </w:r>
      <w:r>
        <w:rPr>
          <w:rFonts w:ascii="Times New Roman" w:hAnsi="Times New Roman"/>
          <w:i/>
          <w:color w:val="auto"/>
          <w:sz w:val="24"/>
        </w:rPr>
        <w:t>“the development of skills needed to succeed in college…careers and transfer.”</w:t>
      </w:r>
    </w:p>
    <w:p w14:paraId="055C175F" w14:textId="77777777" w:rsidR="0003285B" w:rsidRDefault="0003285B" w:rsidP="00CB7BF6">
      <w:pPr>
        <w:pStyle w:val="Body1"/>
        <w:spacing w:after="0" w:line="240" w:lineRule="auto"/>
        <w:rPr>
          <w:rFonts w:ascii="Times New Roman" w:hAnsi="Times New Roman"/>
          <w:color w:val="auto"/>
          <w:sz w:val="24"/>
        </w:rPr>
      </w:pPr>
    </w:p>
    <w:p w14:paraId="6C855848" w14:textId="7F67C58E" w:rsidR="0003285B" w:rsidRPr="00AC11E2" w:rsidRDefault="0003285B" w:rsidP="00CB7BF6">
      <w:r w:rsidRPr="00AC11E2">
        <w:t>Additional examples of the College’s commitment to support student learning and achievement through the development and institutionalization of innovative programming include:</w:t>
      </w:r>
    </w:p>
    <w:p w14:paraId="5298A091" w14:textId="0FEB79E0" w:rsidR="0003285B" w:rsidRPr="00AC11E2" w:rsidRDefault="0040306F" w:rsidP="004B5F04">
      <w:pPr>
        <w:numPr>
          <w:ilvl w:val="0"/>
          <w:numId w:val="5"/>
        </w:numPr>
        <w:tabs>
          <w:tab w:val="clear" w:pos="720"/>
          <w:tab w:val="num" w:pos="540"/>
        </w:tabs>
        <w:ind w:left="540"/>
      </w:pPr>
      <w:hyperlink r:id="rId25" w:history="1">
        <w:r w:rsidR="0003285B" w:rsidRPr="00A93AD8">
          <w:rPr>
            <w:rStyle w:val="Hyperlink"/>
          </w:rPr>
          <w:t>Prep2Test</w:t>
        </w:r>
      </w:hyperlink>
      <w:r w:rsidR="0003285B">
        <w:t>,</w:t>
      </w:r>
      <w:r w:rsidR="0003285B">
        <w:rPr>
          <w:rStyle w:val="EndnoteReference"/>
        </w:rPr>
        <w:endnoteReference w:id="19"/>
      </w:r>
      <w:r w:rsidR="0003285B">
        <w:t xml:space="preserve"> a College-developed tool</w:t>
      </w:r>
      <w:r w:rsidR="0003285B" w:rsidRPr="00AC11E2">
        <w:t xml:space="preserve"> to prepare stude</w:t>
      </w:r>
      <w:r w:rsidR="0003285B">
        <w:t>nts to take the assessment test</w:t>
      </w:r>
      <w:r w:rsidR="0003285B" w:rsidRPr="00AC11E2">
        <w:t xml:space="preserve">; </w:t>
      </w:r>
    </w:p>
    <w:p w14:paraId="4454AF6B" w14:textId="78A464DC" w:rsidR="0003285B" w:rsidRPr="00AC11E2" w:rsidRDefault="0040306F" w:rsidP="004B5F04">
      <w:pPr>
        <w:numPr>
          <w:ilvl w:val="0"/>
          <w:numId w:val="5"/>
        </w:numPr>
        <w:tabs>
          <w:tab w:val="clear" w:pos="720"/>
          <w:tab w:val="num" w:pos="540"/>
        </w:tabs>
        <w:ind w:left="540"/>
      </w:pPr>
      <w:hyperlink r:id="rId26" w:history="1">
        <w:r w:rsidR="0003285B" w:rsidRPr="00A93AD8">
          <w:rPr>
            <w:rStyle w:val="Hyperlink"/>
          </w:rPr>
          <w:t>MyEdPlan</w:t>
        </w:r>
      </w:hyperlink>
      <w:r w:rsidR="0003285B">
        <w:t>,</w:t>
      </w:r>
      <w:r w:rsidR="0003285B">
        <w:rPr>
          <w:rStyle w:val="EndnoteReference"/>
        </w:rPr>
        <w:endnoteReference w:id="20"/>
      </w:r>
      <w:r w:rsidR="0003285B">
        <w:t xml:space="preserve"> a college-developed tool </w:t>
      </w:r>
      <w:r w:rsidR="0003285B" w:rsidRPr="00AC11E2">
        <w:t xml:space="preserve">to facilitate </w:t>
      </w:r>
      <w:r w:rsidR="0003285B">
        <w:t>education plan creation and tracking</w:t>
      </w:r>
      <w:r w:rsidR="0003285B" w:rsidRPr="00AC11E2">
        <w:t>;</w:t>
      </w:r>
    </w:p>
    <w:p w14:paraId="1AA5689B" w14:textId="7D285FA6" w:rsidR="0003285B" w:rsidRDefault="0040306F" w:rsidP="004B5F04">
      <w:pPr>
        <w:pStyle w:val="NoSpacing"/>
        <w:numPr>
          <w:ilvl w:val="0"/>
          <w:numId w:val="5"/>
        </w:numPr>
        <w:tabs>
          <w:tab w:val="clear" w:pos="720"/>
          <w:tab w:val="num" w:pos="540"/>
        </w:tabs>
        <w:ind w:left="540"/>
        <w:rPr>
          <w:rFonts w:ascii="Times New Roman" w:hAnsi="Times New Roman"/>
          <w:sz w:val="24"/>
          <w:szCs w:val="24"/>
        </w:rPr>
      </w:pPr>
      <w:hyperlink r:id="rId27" w:history="1">
        <w:r w:rsidR="0003285B" w:rsidRPr="00A93AD8">
          <w:rPr>
            <w:rStyle w:val="Hyperlink"/>
            <w:rFonts w:ascii="Times New Roman" w:hAnsi="Times New Roman"/>
            <w:sz w:val="24"/>
            <w:szCs w:val="24"/>
          </w:rPr>
          <w:t>Supplemental Instruction</w:t>
        </w:r>
      </w:hyperlink>
      <w:r w:rsidR="0003285B">
        <w:rPr>
          <w:rFonts w:ascii="Times New Roman" w:hAnsi="Times New Roman"/>
          <w:sz w:val="24"/>
          <w:szCs w:val="24"/>
        </w:rPr>
        <w:t>,</w:t>
      </w:r>
      <w:r w:rsidR="0003285B" w:rsidRPr="00CA16A1">
        <w:rPr>
          <w:rStyle w:val="EndnoteReference"/>
          <w:rFonts w:ascii="Times New Roman" w:hAnsi="Times New Roman"/>
          <w:sz w:val="24"/>
          <w:szCs w:val="24"/>
        </w:rPr>
        <w:endnoteReference w:id="21"/>
      </w:r>
      <w:r w:rsidR="0003285B" w:rsidRPr="00CA16A1">
        <w:rPr>
          <w:rFonts w:ascii="Times New Roman" w:hAnsi="Times New Roman"/>
          <w:sz w:val="24"/>
          <w:szCs w:val="24"/>
        </w:rPr>
        <w:t xml:space="preserve"> an internationally recognized academic support model that uses peer-assisted study sessions to improve student retention and success.</w:t>
      </w:r>
    </w:p>
    <w:p w14:paraId="5E3761AF" w14:textId="77777777" w:rsidR="0003285B" w:rsidRPr="00CA16A1" w:rsidRDefault="0003285B" w:rsidP="00CA16A1">
      <w:pPr>
        <w:pStyle w:val="NoSpacing"/>
        <w:ind w:left="720"/>
        <w:rPr>
          <w:rFonts w:ascii="Times New Roman" w:hAnsi="Times New Roman"/>
          <w:sz w:val="24"/>
          <w:szCs w:val="24"/>
        </w:rPr>
      </w:pPr>
    </w:p>
    <w:p w14:paraId="1262F89B" w14:textId="0AC76640" w:rsidR="0003285B" w:rsidRPr="00AC11E2" w:rsidRDefault="0003285B" w:rsidP="00AC11E2">
      <w:r w:rsidRPr="00AC11E2">
        <w:t xml:space="preserve">Another way in which the College demonstrates its commitment to student learning and achievement, as outlined in the Mission statement, is through the provision of </w:t>
      </w:r>
      <w:r w:rsidRPr="00592FB9">
        <w:rPr>
          <w:i/>
        </w:rPr>
        <w:t>“</w:t>
      </w:r>
      <w:r w:rsidRPr="00592FB9">
        <w:rPr>
          <w:rStyle w:val="ms-rtefontsize-2"/>
          <w:i/>
          <w:lang w:val="en"/>
        </w:rPr>
        <w:t>high quality undergraduate degrees and certificates.</w:t>
      </w:r>
      <w:r w:rsidRPr="00AC11E2">
        <w:rPr>
          <w:i/>
        </w:rPr>
        <w:t>”</w:t>
      </w:r>
      <w:r w:rsidRPr="00AC11E2">
        <w:t xml:space="preserve">  This is best accomplished through the hiring of qualified faculty and staff, and more specifically</w:t>
      </w:r>
      <w:r>
        <w:t>,</w:t>
      </w:r>
      <w:r w:rsidRPr="00AC11E2">
        <w:t xml:space="preserve"> the hiring of qualified full-time faculty.  </w:t>
      </w:r>
      <w:r>
        <w:t xml:space="preserve">The </w:t>
      </w:r>
      <w:hyperlink r:id="rId28" w:history="1">
        <w:r w:rsidRPr="00A93AD8">
          <w:rPr>
            <w:rStyle w:val="Hyperlink"/>
          </w:rPr>
          <w:t>process</w:t>
        </w:r>
      </w:hyperlink>
      <w:r>
        <w:t xml:space="preserve"> followed by the </w:t>
      </w:r>
      <w:r w:rsidRPr="001777A8">
        <w:rPr>
          <w:rStyle w:val="NoSpacingChar"/>
          <w:rFonts w:ascii="Times New Roman" w:hAnsi="Times New Roman"/>
          <w:sz w:val="24"/>
          <w:szCs w:val="24"/>
        </w:rPr>
        <w:t>Full-Time Faculty Position Joint Academic Senate Ranking</w:t>
      </w:r>
      <w:r>
        <w:t xml:space="preserve"> Committee</w:t>
      </w:r>
      <w:r>
        <w:rPr>
          <w:rStyle w:val="EndnoteReference"/>
        </w:rPr>
        <w:endnoteReference w:id="22"/>
      </w:r>
      <w:r w:rsidRPr="00AC11E2">
        <w:t xml:space="preserve"> is one of the most collaborative, comprehensive</w:t>
      </w:r>
      <w:r>
        <w:t>, and data-</w:t>
      </w:r>
      <w:r w:rsidRPr="00AC11E2">
        <w:t>driven at the institution</w:t>
      </w:r>
      <w:r>
        <w:t xml:space="preserve">, and </w:t>
      </w:r>
      <w:r w:rsidRPr="00AC11E2">
        <w:t>the heavy resources inves</w:t>
      </w:r>
      <w:r>
        <w:t>ted in a full-time faculty hire</w:t>
      </w:r>
      <w:r w:rsidRPr="00AC11E2">
        <w:t xml:space="preserve"> is indicative of the impact </w:t>
      </w:r>
      <w:r>
        <w:t xml:space="preserve">that </w:t>
      </w:r>
      <w:r w:rsidRPr="00AC11E2">
        <w:t xml:space="preserve">the College believes excellent full-time faculty have on student learning and achievement.  </w:t>
      </w:r>
    </w:p>
    <w:p w14:paraId="79E80CE6" w14:textId="77777777" w:rsidR="0003285B" w:rsidRPr="00AC11E2" w:rsidRDefault="0003285B" w:rsidP="00AC11E2">
      <w:pPr>
        <w:ind w:right="619"/>
      </w:pPr>
    </w:p>
    <w:p w14:paraId="5643D568" w14:textId="09203D7A" w:rsidR="0003285B" w:rsidRPr="00AC11E2" w:rsidRDefault="0003285B" w:rsidP="00AC11E2">
      <w:r>
        <w:t>The College’s Mission describes its</w:t>
      </w:r>
      <w:r w:rsidRPr="00AC11E2">
        <w:t xml:space="preserve"> commitment to student learning and achievement by noting that the College “</w:t>
      </w:r>
      <w:r w:rsidRPr="00AC11E2">
        <w:rPr>
          <w:i/>
        </w:rPr>
        <w:t xml:space="preserve">provides open and affordable access” </w:t>
      </w:r>
      <w:r w:rsidRPr="00AC11E2">
        <w:t xml:space="preserve">to its programs and services.  Nowhere is this commitment to access better illustrated than during the recent economic recession.  </w:t>
      </w:r>
      <w:r>
        <w:t>While the state reduced the College</w:t>
      </w:r>
      <w:r w:rsidRPr="00AC11E2">
        <w:t xml:space="preserve">’s funding allocation for its Full-Time Equivalent Students (FTES), the College understood the impact that a reduced course load would have on student achievement and time to completion.  </w:t>
      </w:r>
      <w:r>
        <w:t>R</w:t>
      </w:r>
      <w:r w:rsidRPr="00AC11E2">
        <w:t xml:space="preserve">ather than reducing the course load to match the reduction in funding, the College </w:t>
      </w:r>
      <w:hyperlink r:id="rId29" w:history="1">
        <w:r w:rsidRPr="00566722">
          <w:rPr>
            <w:rStyle w:val="Hyperlink"/>
          </w:rPr>
          <w:t>intentionally used its reserve funding</w:t>
        </w:r>
      </w:hyperlink>
      <w:r w:rsidRPr="00AC11E2">
        <w:t xml:space="preserve"> to offer course</w:t>
      </w:r>
      <w:r>
        <w:t>s over the level that was state-</w:t>
      </w:r>
      <w:r w:rsidRPr="00AC11E2">
        <w:t>funded</w:t>
      </w:r>
      <w:r>
        <w:t>.</w:t>
      </w:r>
      <w:r>
        <w:rPr>
          <w:rStyle w:val="EndnoteReference"/>
        </w:rPr>
        <w:endnoteReference w:id="23"/>
      </w:r>
      <w:r w:rsidRPr="00AC11E2">
        <w:t xml:space="preserve">  Likewise, the College did not cancel its winter and summer intersessions, but </w:t>
      </w:r>
      <w:r>
        <w:t>instead chose to use reserve funding and secure</w:t>
      </w:r>
      <w:r w:rsidRPr="00AC11E2">
        <w:t xml:space="preserve"> external funding to maintain student access to necessary classes.  B</w:t>
      </w:r>
      <w:r>
        <w:t xml:space="preserve">y </w:t>
      </w:r>
      <w:r w:rsidR="00D553D6">
        <w:t>doing so</w:t>
      </w:r>
      <w:r>
        <w:t>, the College</w:t>
      </w:r>
      <w:r w:rsidRPr="00AC11E2">
        <w:t xml:space="preserve"> helped ensure that students had access to the courses they needed to progress in a timely manner.  </w:t>
      </w:r>
    </w:p>
    <w:p w14:paraId="035EC862" w14:textId="77777777" w:rsidR="0003285B" w:rsidRPr="00AC11E2" w:rsidRDefault="0003285B" w:rsidP="00AC11E2"/>
    <w:p w14:paraId="663A03A8" w14:textId="3D7D5DEF" w:rsidR="0003285B" w:rsidRPr="00AC11E2" w:rsidRDefault="0003285B" w:rsidP="00AC11E2">
      <w:r>
        <w:t>Another</w:t>
      </w:r>
      <w:r w:rsidRPr="00AC11E2">
        <w:t xml:space="preserve"> example </w:t>
      </w:r>
      <w:r>
        <w:t xml:space="preserve">of how the College </w:t>
      </w:r>
      <w:r w:rsidRPr="00AC11E2">
        <w:t>promot</w:t>
      </w:r>
      <w:r>
        <w:t>es</w:t>
      </w:r>
      <w:r w:rsidRPr="00AC11E2">
        <w:t xml:space="preserve"> o</w:t>
      </w:r>
      <w:r>
        <w:t>pen and affordable access is the</w:t>
      </w:r>
      <w:r w:rsidRPr="00AC11E2">
        <w:t xml:space="preserve"> creation of the class schedule.  Class scheduling is driven by three overarching goals: student access, student success, and course/program/goal completion. </w:t>
      </w:r>
      <w:r>
        <w:t xml:space="preserve"> Among the m</w:t>
      </w:r>
      <w:r w:rsidRPr="00AC11E2">
        <w:t xml:space="preserve">any factors </w:t>
      </w:r>
      <w:r>
        <w:t xml:space="preserve">that </w:t>
      </w:r>
      <w:r w:rsidRPr="00AC11E2">
        <w:t>contribute to the schedul</w:t>
      </w:r>
      <w:r>
        <w:t xml:space="preserve">e of classes each semester, the College considers </w:t>
      </w:r>
      <w:r w:rsidRPr="00AC11E2">
        <w:t>the ability of students to complete a course of study in a timely fashion,</w:t>
      </w:r>
      <w:r>
        <w:t xml:space="preserve"> especially in disciplines in which</w:t>
      </w:r>
      <w:r w:rsidRPr="00AC11E2">
        <w:t xml:space="preserve"> </w:t>
      </w:r>
      <w:r>
        <w:t>students must complete</w:t>
      </w:r>
      <w:r w:rsidRPr="00AC11E2">
        <w:t xml:space="preserve"> a sequence of classes</w:t>
      </w:r>
      <w:r>
        <w:t>, as one of the most important</w:t>
      </w:r>
      <w:r w:rsidRPr="00AC11E2">
        <w:t xml:space="preserve">.  </w:t>
      </w:r>
      <w:r>
        <w:t>The</w:t>
      </w:r>
      <w:r w:rsidRPr="00AC11E2">
        <w:t xml:space="preserve"> College </w:t>
      </w:r>
      <w:r>
        <w:t xml:space="preserve">also </w:t>
      </w:r>
      <w:r w:rsidRPr="00AC11E2">
        <w:t>balance</w:t>
      </w:r>
      <w:r>
        <w:t>s offerings by day/evening, on-ground/online, and main site</w:t>
      </w:r>
      <w:r w:rsidRPr="00AC11E2">
        <w:t xml:space="preserve">/satellite site to further ensure access. </w:t>
      </w:r>
      <w:r>
        <w:t xml:space="preserve"> In</w:t>
      </w:r>
      <w:r w:rsidRPr="00AC11E2">
        <w:t xml:space="preserve"> general</w:t>
      </w:r>
      <w:r>
        <w:t>, the College seeks to offer courses</w:t>
      </w:r>
      <w:r w:rsidRPr="00AC11E2">
        <w:t xml:space="preserve"> in multiple formats to reach a variety of learners effectively.</w:t>
      </w:r>
    </w:p>
    <w:p w14:paraId="5AAB3CBD" w14:textId="77777777" w:rsidR="0003285B" w:rsidRPr="00AC11E2" w:rsidRDefault="0003285B" w:rsidP="00AC11E2">
      <w:pPr>
        <w:rPr>
          <w:b/>
          <w:u w:val="single"/>
        </w:rPr>
      </w:pPr>
    </w:p>
    <w:p w14:paraId="76461066" w14:textId="01A88792" w:rsidR="0003285B" w:rsidRPr="009A2529" w:rsidRDefault="0003285B" w:rsidP="003407BB">
      <w:pPr>
        <w:keepNext/>
        <w:rPr>
          <w:b/>
          <w:i/>
          <w:u w:val="single"/>
        </w:rPr>
      </w:pPr>
      <w:r w:rsidRPr="009A2529">
        <w:rPr>
          <w:b/>
          <w:i/>
          <w:u w:val="single"/>
        </w:rPr>
        <w:t>Analysis</w:t>
      </w:r>
    </w:p>
    <w:p w14:paraId="78F00EEA" w14:textId="77777777" w:rsidR="0003285B" w:rsidRPr="00AC11E2" w:rsidRDefault="0003285B" w:rsidP="003407BB">
      <w:pPr>
        <w:keepNext/>
        <w:rPr>
          <w:b/>
          <w:u w:val="single"/>
        </w:rPr>
      </w:pPr>
    </w:p>
    <w:p w14:paraId="2C791C92" w14:textId="6F80630A" w:rsidR="0003285B" w:rsidRPr="00AC11E2" w:rsidRDefault="0003285B" w:rsidP="00D91A62">
      <w:r>
        <w:t>The Santa Monica College Vision and M</w:t>
      </w:r>
      <w:r w:rsidRPr="00AC11E2">
        <w:t>ission statements, together with the five Institutional Learning Outcomes and Supporting Goals, articulate the broad institutional educational purposes, the intended students to be served, degrees and certificates offered, and the institutional commitment to student learning and achievement.  The language of the Vision and Mission is clear, providing general direction for setting institutional priorities, yet</w:t>
      </w:r>
      <w:r>
        <w:t xml:space="preserve"> it is</w:t>
      </w:r>
      <w:r w:rsidRPr="00AC11E2">
        <w:t xml:space="preserve"> broad enough to enable innovation to support those priorities.</w:t>
      </w:r>
    </w:p>
    <w:p w14:paraId="3D49E6BB" w14:textId="77777777" w:rsidR="0003285B" w:rsidRPr="00AC11E2" w:rsidRDefault="0003285B" w:rsidP="00AC11E2"/>
    <w:p w14:paraId="342D52A4" w14:textId="3929B0C3" w:rsidR="0003285B" w:rsidRPr="00AC11E2" w:rsidRDefault="0003285B" w:rsidP="00405480">
      <w:r>
        <w:t>T</w:t>
      </w:r>
      <w:r w:rsidRPr="00AC11E2">
        <w:t>he College regularly reviews and updates it</w:t>
      </w:r>
      <w:r>
        <w:t>s</w:t>
      </w:r>
      <w:r w:rsidRPr="00AC11E2">
        <w:t xml:space="preserve"> Mission</w:t>
      </w:r>
      <w:r>
        <w:t xml:space="preserve"> statement and the current statement will be revised as part of the strategic planning process which is scheduled to commence in the 2016-2017 academic year.  This effort will also specifically address two areas of the Mission: Educational Purpose and Intended Student Population to address the increased focus on student equity and improvement of student achievement among groups traditionally underrepresented in higher education (including, for example, low income students, students from underrepresented minority groups, foster youth, and veterans), and the needs of time and place bound students who enroll in Distance Education programs.</w:t>
      </w:r>
    </w:p>
    <w:p w14:paraId="49C83D1D" w14:textId="77777777" w:rsidR="0003285B" w:rsidRPr="00AC11E2" w:rsidRDefault="0003285B" w:rsidP="00AC11E2">
      <w:pPr>
        <w:ind w:right="619"/>
      </w:pPr>
    </w:p>
    <w:p w14:paraId="10915B4E" w14:textId="77777777" w:rsidR="0003285B" w:rsidRPr="009A2529" w:rsidRDefault="0003285B" w:rsidP="005C2ADA">
      <w:pPr>
        <w:keepNext/>
        <w:rPr>
          <w:b/>
          <w:i/>
          <w:u w:val="single"/>
        </w:rPr>
      </w:pPr>
      <w:r w:rsidRPr="009A2529">
        <w:rPr>
          <w:b/>
          <w:i/>
          <w:u w:val="single"/>
        </w:rPr>
        <w:t>Plan</w:t>
      </w:r>
    </w:p>
    <w:p w14:paraId="33687DE7" w14:textId="77777777" w:rsidR="0003285B" w:rsidRPr="00AC11E2" w:rsidRDefault="0003285B" w:rsidP="005C2ADA">
      <w:pPr>
        <w:keepNext/>
      </w:pPr>
    </w:p>
    <w:p w14:paraId="5DDDADB8" w14:textId="2A00289D" w:rsidR="0003285B" w:rsidRPr="00DE7E87" w:rsidRDefault="0003285B" w:rsidP="00DE7E87">
      <w:pPr>
        <w:pStyle w:val="Default"/>
        <w:rPr>
          <w:color w:val="auto"/>
        </w:rPr>
      </w:pPr>
      <w:r>
        <w:rPr>
          <w:color w:val="auto"/>
        </w:rPr>
        <w:t xml:space="preserve">Based on an analysis of the evidence, Santa Monica College is meeting this standard and will continue to monitor its progress.  </w:t>
      </w:r>
      <w:r w:rsidR="00A241C3">
        <w:t>The</w:t>
      </w:r>
      <w:r>
        <w:t xml:space="preserve"> College regularly reviews its M</w:t>
      </w:r>
      <w:r w:rsidRPr="00E619E5">
        <w:t>ission statement as part o</w:t>
      </w:r>
      <w:r w:rsidR="00A241C3">
        <w:t>f its strategic planning cycle during which it will address distance education and equity issues.</w:t>
      </w:r>
      <w:r w:rsidRPr="00E619E5">
        <w:t xml:space="preserve"> </w:t>
      </w:r>
    </w:p>
    <w:p w14:paraId="7FDFA9EB" w14:textId="77777777" w:rsidR="0003285B" w:rsidRDefault="0003285B" w:rsidP="00A24DB7">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2132"/>
        <w:gridCol w:w="1164"/>
        <w:gridCol w:w="2378"/>
      </w:tblGrid>
      <w:tr w:rsidR="0003285B" w:rsidRPr="00F34707" w14:paraId="764B55CA" w14:textId="77777777" w:rsidTr="00193DE9">
        <w:trPr>
          <w:tblHeader/>
        </w:trPr>
        <w:tc>
          <w:tcPr>
            <w:tcW w:w="3618" w:type="dxa"/>
          </w:tcPr>
          <w:p w14:paraId="6A6DB525" w14:textId="77777777" w:rsidR="0003285B" w:rsidRPr="00F34707" w:rsidRDefault="0003285B" w:rsidP="005E631B">
            <w:pPr>
              <w:jc w:val="center"/>
              <w:rPr>
                <w:rFonts w:asciiTheme="minorHAnsi" w:hAnsiTheme="minorHAnsi"/>
                <w:b/>
                <w:sz w:val="22"/>
              </w:rPr>
            </w:pPr>
            <w:r w:rsidRPr="00F34707">
              <w:rPr>
                <w:rFonts w:asciiTheme="minorHAnsi" w:hAnsiTheme="minorHAnsi"/>
                <w:b/>
                <w:sz w:val="22"/>
              </w:rPr>
              <w:t>Proposed Activities</w:t>
            </w:r>
          </w:p>
        </w:tc>
        <w:tc>
          <w:tcPr>
            <w:tcW w:w="2160" w:type="dxa"/>
          </w:tcPr>
          <w:p w14:paraId="0DCB3618" w14:textId="77777777" w:rsidR="0003285B" w:rsidRPr="00F34707" w:rsidRDefault="0003285B" w:rsidP="005E631B">
            <w:pPr>
              <w:jc w:val="center"/>
              <w:rPr>
                <w:rFonts w:asciiTheme="minorHAnsi" w:hAnsiTheme="minorHAnsi"/>
                <w:b/>
                <w:sz w:val="22"/>
              </w:rPr>
            </w:pPr>
            <w:r w:rsidRPr="00F34707">
              <w:rPr>
                <w:rFonts w:asciiTheme="minorHAnsi" w:hAnsiTheme="minorHAnsi"/>
                <w:b/>
                <w:sz w:val="22"/>
              </w:rPr>
              <w:t>Responsible Parties</w:t>
            </w:r>
          </w:p>
        </w:tc>
        <w:tc>
          <w:tcPr>
            <w:tcW w:w="1170" w:type="dxa"/>
          </w:tcPr>
          <w:p w14:paraId="47E6EE8A" w14:textId="77777777" w:rsidR="0003285B" w:rsidRPr="00F34707" w:rsidRDefault="0003285B" w:rsidP="005E631B">
            <w:pPr>
              <w:jc w:val="center"/>
              <w:rPr>
                <w:rFonts w:asciiTheme="minorHAnsi" w:hAnsiTheme="minorHAnsi"/>
                <w:b/>
                <w:sz w:val="22"/>
              </w:rPr>
            </w:pPr>
            <w:r w:rsidRPr="00F34707">
              <w:rPr>
                <w:rFonts w:asciiTheme="minorHAnsi" w:hAnsiTheme="minorHAnsi"/>
                <w:b/>
                <w:sz w:val="22"/>
              </w:rPr>
              <w:t>Timeline</w:t>
            </w:r>
          </w:p>
        </w:tc>
        <w:tc>
          <w:tcPr>
            <w:tcW w:w="2402" w:type="dxa"/>
          </w:tcPr>
          <w:p w14:paraId="015A0A57" w14:textId="77777777" w:rsidR="0003285B" w:rsidRPr="00F34707" w:rsidRDefault="0003285B" w:rsidP="005E631B">
            <w:pPr>
              <w:jc w:val="center"/>
              <w:rPr>
                <w:rFonts w:asciiTheme="minorHAnsi" w:hAnsiTheme="minorHAnsi"/>
                <w:b/>
                <w:sz w:val="22"/>
              </w:rPr>
            </w:pPr>
            <w:r w:rsidRPr="00F34707">
              <w:rPr>
                <w:rFonts w:asciiTheme="minorHAnsi" w:hAnsiTheme="minorHAnsi"/>
                <w:b/>
                <w:sz w:val="22"/>
              </w:rPr>
              <w:t>Anticipated Outcomes/ Benchmarks of Success</w:t>
            </w:r>
          </w:p>
        </w:tc>
      </w:tr>
      <w:tr w:rsidR="0003285B" w:rsidRPr="00F34707" w14:paraId="4BC47675" w14:textId="77777777" w:rsidTr="00A24DB7">
        <w:tc>
          <w:tcPr>
            <w:tcW w:w="9350" w:type="dxa"/>
            <w:gridSpan w:val="4"/>
          </w:tcPr>
          <w:p w14:paraId="43BD63CC" w14:textId="323F604C" w:rsidR="0003285B" w:rsidRPr="00F34707" w:rsidRDefault="0003285B" w:rsidP="005E631B">
            <w:pPr>
              <w:rPr>
                <w:rFonts w:asciiTheme="minorHAnsi" w:hAnsiTheme="minorHAnsi"/>
                <w:sz w:val="22"/>
              </w:rPr>
            </w:pPr>
            <w:r w:rsidRPr="00F34707">
              <w:rPr>
                <w:rFonts w:asciiTheme="minorHAnsi" w:hAnsiTheme="minorHAnsi"/>
                <w:b/>
                <w:sz w:val="22"/>
              </w:rPr>
              <w:t xml:space="preserve">Objective 1: </w:t>
            </w:r>
            <w:r w:rsidRPr="00F34707">
              <w:rPr>
                <w:rFonts w:asciiTheme="minorHAnsi" w:hAnsiTheme="minorHAnsi"/>
                <w:sz w:val="22"/>
              </w:rPr>
              <w:t xml:space="preserve">Revise </w:t>
            </w:r>
            <w:r>
              <w:rPr>
                <w:rFonts w:asciiTheme="minorHAnsi" w:hAnsiTheme="minorHAnsi"/>
                <w:sz w:val="22"/>
              </w:rPr>
              <w:t xml:space="preserve">the </w:t>
            </w:r>
            <w:r w:rsidRPr="00F34707">
              <w:rPr>
                <w:rFonts w:asciiTheme="minorHAnsi" w:hAnsiTheme="minorHAnsi"/>
                <w:sz w:val="22"/>
              </w:rPr>
              <w:t xml:space="preserve">Mission statement to reflect </w:t>
            </w:r>
            <w:r>
              <w:rPr>
                <w:rFonts w:asciiTheme="minorHAnsi" w:hAnsiTheme="minorHAnsi"/>
                <w:sz w:val="22"/>
              </w:rPr>
              <w:t xml:space="preserve">the </w:t>
            </w:r>
            <w:r w:rsidRPr="00F34707">
              <w:rPr>
                <w:rFonts w:asciiTheme="minorHAnsi" w:hAnsiTheme="minorHAnsi"/>
                <w:sz w:val="22"/>
              </w:rPr>
              <w:t>College’s commitment to serving time- and place-bound students through distance education.</w:t>
            </w:r>
          </w:p>
          <w:p w14:paraId="43270A57" w14:textId="3CFBDC84" w:rsidR="0003285B" w:rsidRPr="00F34707" w:rsidRDefault="0003285B" w:rsidP="00193DE9">
            <w:pPr>
              <w:rPr>
                <w:rFonts w:asciiTheme="minorHAnsi" w:hAnsiTheme="minorHAnsi"/>
                <w:sz w:val="22"/>
              </w:rPr>
            </w:pPr>
            <w:r w:rsidRPr="00F34707">
              <w:rPr>
                <w:rFonts w:asciiTheme="minorHAnsi" w:hAnsiTheme="minorHAnsi"/>
                <w:b/>
                <w:sz w:val="22"/>
              </w:rPr>
              <w:t xml:space="preserve">Objective 2: </w:t>
            </w:r>
            <w:r w:rsidRPr="00F34707">
              <w:rPr>
                <w:rFonts w:asciiTheme="minorHAnsi" w:hAnsiTheme="minorHAnsi"/>
                <w:sz w:val="22"/>
              </w:rPr>
              <w:t xml:space="preserve">Expand the scope of the Mission statement to reflect </w:t>
            </w:r>
            <w:r>
              <w:rPr>
                <w:rFonts w:asciiTheme="minorHAnsi" w:hAnsiTheme="minorHAnsi"/>
                <w:sz w:val="22"/>
              </w:rPr>
              <w:t xml:space="preserve">the </w:t>
            </w:r>
            <w:r w:rsidRPr="00F34707">
              <w:rPr>
                <w:rFonts w:asciiTheme="minorHAnsi" w:hAnsiTheme="minorHAnsi"/>
                <w:sz w:val="22"/>
              </w:rPr>
              <w:t>College’s commitment to learning and achievement for all students and achieving equity among the College’s diverse populations.</w:t>
            </w:r>
          </w:p>
        </w:tc>
      </w:tr>
      <w:tr w:rsidR="0003285B" w:rsidRPr="00F34707" w14:paraId="21BD621B" w14:textId="77777777" w:rsidTr="00193DE9">
        <w:tc>
          <w:tcPr>
            <w:tcW w:w="3618" w:type="dxa"/>
          </w:tcPr>
          <w:p w14:paraId="4B0151F3" w14:textId="77777777" w:rsidR="0003285B" w:rsidRPr="00F34707" w:rsidRDefault="0003285B" w:rsidP="00A24DB7">
            <w:pPr>
              <w:numPr>
                <w:ilvl w:val="1"/>
                <w:numId w:val="3"/>
              </w:numPr>
              <w:ind w:left="360"/>
              <w:rPr>
                <w:rFonts w:asciiTheme="minorHAnsi" w:hAnsiTheme="minorHAnsi"/>
                <w:sz w:val="22"/>
              </w:rPr>
            </w:pPr>
            <w:r w:rsidRPr="00F34707">
              <w:rPr>
                <w:rFonts w:asciiTheme="minorHAnsi" w:hAnsiTheme="minorHAnsi"/>
                <w:sz w:val="22"/>
              </w:rPr>
              <w:lastRenderedPageBreak/>
              <w:t>Develop committee to review Mission and create language.</w:t>
            </w:r>
          </w:p>
          <w:p w14:paraId="0CB1C341" w14:textId="77777777" w:rsidR="0003285B" w:rsidRPr="00F34707" w:rsidRDefault="0003285B" w:rsidP="00A24DB7">
            <w:pPr>
              <w:numPr>
                <w:ilvl w:val="1"/>
                <w:numId w:val="3"/>
              </w:numPr>
              <w:ind w:left="360"/>
              <w:rPr>
                <w:rFonts w:asciiTheme="minorHAnsi" w:hAnsiTheme="minorHAnsi"/>
                <w:sz w:val="22"/>
              </w:rPr>
            </w:pPr>
            <w:r w:rsidRPr="00F34707">
              <w:rPr>
                <w:rFonts w:asciiTheme="minorHAnsi" w:hAnsiTheme="minorHAnsi"/>
                <w:sz w:val="22"/>
              </w:rPr>
              <w:t>Submit proposed language revisions to appropriate groups.</w:t>
            </w:r>
          </w:p>
          <w:p w14:paraId="1A9C3E47" w14:textId="77777777" w:rsidR="0003285B" w:rsidRPr="00F34707" w:rsidRDefault="0003285B" w:rsidP="00A24DB7">
            <w:pPr>
              <w:numPr>
                <w:ilvl w:val="1"/>
                <w:numId w:val="3"/>
              </w:numPr>
              <w:ind w:left="360"/>
              <w:rPr>
                <w:rFonts w:asciiTheme="minorHAnsi" w:hAnsiTheme="minorHAnsi"/>
                <w:sz w:val="22"/>
              </w:rPr>
            </w:pPr>
            <w:r w:rsidRPr="00F34707">
              <w:rPr>
                <w:rFonts w:asciiTheme="minorHAnsi" w:hAnsiTheme="minorHAnsi"/>
                <w:sz w:val="22"/>
              </w:rPr>
              <w:t>Obtain approval from Board of Trustees.</w:t>
            </w:r>
          </w:p>
          <w:p w14:paraId="770DDCF7" w14:textId="77777777" w:rsidR="0003285B" w:rsidRPr="00F34707" w:rsidRDefault="0003285B" w:rsidP="00A24DB7">
            <w:pPr>
              <w:numPr>
                <w:ilvl w:val="1"/>
                <w:numId w:val="3"/>
              </w:numPr>
              <w:ind w:left="360"/>
              <w:rPr>
                <w:rFonts w:asciiTheme="minorHAnsi" w:hAnsiTheme="minorHAnsi"/>
                <w:sz w:val="22"/>
              </w:rPr>
            </w:pPr>
            <w:r w:rsidRPr="00F34707">
              <w:rPr>
                <w:rFonts w:asciiTheme="minorHAnsi" w:hAnsiTheme="minorHAnsi"/>
                <w:sz w:val="22"/>
              </w:rPr>
              <w:t>Update Mission statement in all public documents, including Web.</w:t>
            </w:r>
          </w:p>
        </w:tc>
        <w:tc>
          <w:tcPr>
            <w:tcW w:w="2160" w:type="dxa"/>
          </w:tcPr>
          <w:p w14:paraId="69E2F241" w14:textId="77777777" w:rsidR="0003285B" w:rsidRPr="00F34707" w:rsidRDefault="0003285B" w:rsidP="005E631B">
            <w:pPr>
              <w:rPr>
                <w:rFonts w:asciiTheme="minorHAnsi" w:hAnsiTheme="minorHAnsi"/>
                <w:sz w:val="22"/>
              </w:rPr>
            </w:pPr>
            <w:r w:rsidRPr="00F34707">
              <w:rPr>
                <w:rFonts w:asciiTheme="minorHAnsi" w:hAnsiTheme="minorHAnsi"/>
                <w:sz w:val="22"/>
              </w:rPr>
              <w:t>District Planning and Advisory Council</w:t>
            </w:r>
          </w:p>
          <w:p w14:paraId="427491A3" w14:textId="77777777" w:rsidR="0003285B" w:rsidRPr="00F34707" w:rsidRDefault="0003285B" w:rsidP="005E631B">
            <w:pPr>
              <w:rPr>
                <w:rFonts w:asciiTheme="minorHAnsi" w:hAnsiTheme="minorHAnsi"/>
                <w:sz w:val="22"/>
              </w:rPr>
            </w:pPr>
          </w:p>
          <w:p w14:paraId="0D03F4E2" w14:textId="77777777" w:rsidR="0003285B" w:rsidRPr="00F34707" w:rsidRDefault="0003285B" w:rsidP="005E631B">
            <w:pPr>
              <w:rPr>
                <w:rFonts w:asciiTheme="minorHAnsi" w:hAnsiTheme="minorHAnsi"/>
                <w:sz w:val="22"/>
              </w:rPr>
            </w:pPr>
          </w:p>
        </w:tc>
        <w:tc>
          <w:tcPr>
            <w:tcW w:w="1170" w:type="dxa"/>
          </w:tcPr>
          <w:p w14:paraId="6BD62D55" w14:textId="77777777" w:rsidR="0003285B" w:rsidRPr="00F34707" w:rsidRDefault="0003285B" w:rsidP="005E631B">
            <w:pPr>
              <w:rPr>
                <w:rFonts w:asciiTheme="minorHAnsi" w:hAnsiTheme="minorHAnsi"/>
                <w:sz w:val="22"/>
              </w:rPr>
            </w:pPr>
            <w:r w:rsidRPr="00F34707">
              <w:rPr>
                <w:rFonts w:asciiTheme="minorHAnsi" w:hAnsiTheme="minorHAnsi"/>
                <w:sz w:val="22"/>
              </w:rPr>
              <w:t>2016-2017</w:t>
            </w:r>
          </w:p>
        </w:tc>
        <w:tc>
          <w:tcPr>
            <w:tcW w:w="2402" w:type="dxa"/>
          </w:tcPr>
          <w:p w14:paraId="12960EAB" w14:textId="0D3F3460" w:rsidR="0003285B" w:rsidRPr="00A241C3" w:rsidRDefault="0003285B" w:rsidP="00A241C3">
            <w:pPr>
              <w:spacing w:after="160" w:line="259" w:lineRule="auto"/>
              <w:rPr>
                <w:rFonts w:asciiTheme="minorHAnsi" w:hAnsiTheme="minorHAnsi"/>
              </w:rPr>
            </w:pPr>
            <w:r w:rsidRPr="00A241C3">
              <w:rPr>
                <w:rFonts w:asciiTheme="minorHAnsi" w:hAnsiTheme="minorHAnsi"/>
              </w:rPr>
              <w:t>Approved Mission statement implemented and communicated to students and the college community in print and online.</w:t>
            </w:r>
          </w:p>
        </w:tc>
      </w:tr>
    </w:tbl>
    <w:p w14:paraId="260E3880" w14:textId="77777777" w:rsidR="0003285B" w:rsidRDefault="0003285B" w:rsidP="001D0003">
      <w:pPr>
        <w:rPr>
          <w:b/>
        </w:rPr>
      </w:pPr>
    </w:p>
    <w:p w14:paraId="0325A92F" w14:textId="77777777" w:rsidR="0003285B" w:rsidRDefault="0003285B" w:rsidP="001D0003">
      <w:pPr>
        <w:rPr>
          <w:b/>
        </w:rPr>
      </w:pPr>
    </w:p>
    <w:p w14:paraId="0C0A2EB9" w14:textId="0C001978" w:rsidR="0003285B" w:rsidRPr="0015375C" w:rsidRDefault="0003285B" w:rsidP="006E3467">
      <w:pPr>
        <w:keepNext/>
        <w:keepLines/>
      </w:pPr>
      <w:r>
        <w:rPr>
          <w:b/>
        </w:rPr>
        <w:t>IA.2</w:t>
      </w:r>
      <w:r>
        <w:rPr>
          <w:b/>
        </w:rPr>
        <w:tab/>
      </w:r>
      <w:r w:rsidRPr="0015375C">
        <w:rPr>
          <w:b/>
        </w:rPr>
        <w:t>The institution uses data to determine how effectively it is accomplishing its mission, and whether the mission directs institutional priorities in meeting the educational needs of students.</w:t>
      </w:r>
    </w:p>
    <w:p w14:paraId="7DAF2321" w14:textId="77777777" w:rsidR="0003285B" w:rsidRDefault="0003285B" w:rsidP="006E3467">
      <w:pPr>
        <w:keepNext/>
        <w:rPr>
          <w:u w:val="single"/>
        </w:rPr>
      </w:pPr>
    </w:p>
    <w:p w14:paraId="42E3A478" w14:textId="77777777" w:rsidR="0003285B" w:rsidRPr="007C182B" w:rsidRDefault="0003285B" w:rsidP="006E3467">
      <w:pPr>
        <w:keepNext/>
        <w:rPr>
          <w:b/>
          <w:i/>
          <w:u w:val="single"/>
        </w:rPr>
      </w:pPr>
      <w:r w:rsidRPr="007C182B">
        <w:rPr>
          <w:b/>
          <w:i/>
          <w:u w:val="single"/>
        </w:rPr>
        <w:t>Evidence of Meeting the Standard</w:t>
      </w:r>
    </w:p>
    <w:p w14:paraId="3229769F" w14:textId="77777777" w:rsidR="0003285B" w:rsidRDefault="0003285B" w:rsidP="006E3467">
      <w:pPr>
        <w:keepNext/>
        <w:rPr>
          <w:b/>
          <w:u w:val="single"/>
        </w:rPr>
      </w:pPr>
    </w:p>
    <w:p w14:paraId="7BB8823B" w14:textId="77777777" w:rsidR="0003285B" w:rsidRDefault="0003285B" w:rsidP="006E3467">
      <w:pPr>
        <w:keepNext/>
        <w:rPr>
          <w:b/>
        </w:rPr>
      </w:pPr>
      <w:r>
        <w:rPr>
          <w:b/>
        </w:rPr>
        <w:t xml:space="preserve">Use of Data to Determine Effectiveness of </w:t>
      </w:r>
      <w:smartTag w:uri="urn:schemas-microsoft-com:office:smarttags" w:element="place">
        <w:smartTag w:uri="urn:schemas-microsoft-com:office:smarttags" w:element="City">
          <w:r>
            <w:rPr>
              <w:b/>
            </w:rPr>
            <w:t>Mission</w:t>
          </w:r>
        </w:smartTag>
      </w:smartTag>
    </w:p>
    <w:p w14:paraId="706914C8" w14:textId="77777777" w:rsidR="0003285B" w:rsidRDefault="0003285B" w:rsidP="005C2ADA">
      <w:pPr>
        <w:keepNext/>
      </w:pPr>
    </w:p>
    <w:p w14:paraId="3F12D48A" w14:textId="1EFE79B0" w:rsidR="0003285B" w:rsidRPr="00B95B01" w:rsidRDefault="0003285B" w:rsidP="00D91A62">
      <w:pPr>
        <w:autoSpaceDE w:val="0"/>
        <w:autoSpaceDN w:val="0"/>
        <w:adjustRightInd w:val="0"/>
      </w:pPr>
      <w:r>
        <w:t xml:space="preserve">As described in IA.1, the College has established five </w:t>
      </w:r>
      <w:r w:rsidRPr="00B95B01">
        <w:t>I</w:t>
      </w:r>
      <w:r>
        <w:t>nstitutional Learning O</w:t>
      </w:r>
      <w:r w:rsidRPr="00B95B01">
        <w:t>utcomes</w:t>
      </w:r>
      <w:r>
        <w:t xml:space="preserve"> (ILOs) which</w:t>
      </w:r>
      <w:r w:rsidRPr="00B95B01">
        <w:t xml:space="preserve"> are assessed at the student level in the classroom or in counseling sessions. </w:t>
      </w:r>
      <w:r>
        <w:t xml:space="preserve"> </w:t>
      </w:r>
      <w:r w:rsidRPr="00B95B01">
        <w:t>All course/counseling</w:t>
      </w:r>
      <w:r>
        <w:t xml:space="preserve"> student learning outcome</w:t>
      </w:r>
      <w:r w:rsidRPr="00B95B01">
        <w:t xml:space="preserve">s </w:t>
      </w:r>
      <w:r>
        <w:t xml:space="preserve">(SLOs) </w:t>
      </w:r>
      <w:r w:rsidRPr="00B95B01">
        <w:t xml:space="preserve">are mapped to the </w:t>
      </w:r>
      <w:r>
        <w:t>ILOs</w:t>
      </w:r>
      <w:r w:rsidRPr="00B95B01">
        <w:t xml:space="preserve">. </w:t>
      </w:r>
      <w:r>
        <w:t xml:space="preserve"> </w:t>
      </w:r>
      <w:r w:rsidRPr="00B95B01">
        <w:t xml:space="preserve">When an SLO is assessed, so are the </w:t>
      </w:r>
      <w:hyperlink r:id="rId30" w:history="1">
        <w:r w:rsidRPr="00767238">
          <w:rPr>
            <w:rStyle w:val="Hyperlink"/>
          </w:rPr>
          <w:t>ILO core competencies</w:t>
        </w:r>
      </w:hyperlink>
      <w:r>
        <w:rPr>
          <w:rStyle w:val="EndnoteReference"/>
        </w:rPr>
        <w:endnoteReference w:id="24"/>
      </w:r>
      <w:r w:rsidRPr="00B95B01">
        <w:t xml:space="preserve"> to which that SLO is mapped.  </w:t>
      </w:r>
      <w:r>
        <w:t xml:space="preserve">Through much discussion, the College </w:t>
      </w:r>
      <w:r w:rsidRPr="00B95B01">
        <w:rPr>
          <w:rStyle w:val="NoSpacingChar"/>
          <w:rFonts w:ascii="Times New Roman" w:hAnsi="Times New Roman"/>
          <w:sz w:val="24"/>
          <w:szCs w:val="24"/>
        </w:rPr>
        <w:t xml:space="preserve">has decided that most non-instructional areas (such as Financial Aid and Fiscal Services) assess outcomes based on the desired quality of their key functions and services. </w:t>
      </w:r>
      <w:r>
        <w:rPr>
          <w:rStyle w:val="NoSpacingChar"/>
          <w:rFonts w:ascii="Times New Roman" w:hAnsi="Times New Roman"/>
          <w:sz w:val="24"/>
          <w:szCs w:val="24"/>
        </w:rPr>
        <w:t xml:space="preserve"> </w:t>
      </w:r>
      <w:r w:rsidRPr="00B95B01">
        <w:rPr>
          <w:rStyle w:val="NoSpacingChar"/>
          <w:rFonts w:ascii="Times New Roman" w:hAnsi="Times New Roman"/>
          <w:sz w:val="24"/>
          <w:szCs w:val="24"/>
        </w:rPr>
        <w:t>These outcomes are mapped to</w:t>
      </w:r>
      <w:r>
        <w:rPr>
          <w:rStyle w:val="NoSpacingChar"/>
          <w:rFonts w:ascii="Times New Roman" w:hAnsi="Times New Roman"/>
          <w:sz w:val="24"/>
          <w:szCs w:val="24"/>
        </w:rPr>
        <w:t xml:space="preserve"> the strategic initiatives and Supporting G</w:t>
      </w:r>
      <w:r w:rsidRPr="00B95B01">
        <w:rPr>
          <w:rStyle w:val="NoSpacingChar"/>
          <w:rFonts w:ascii="Times New Roman" w:hAnsi="Times New Roman"/>
          <w:sz w:val="24"/>
          <w:szCs w:val="24"/>
        </w:rPr>
        <w:t>oals of the College, rather than the student learning-based ILOs.</w:t>
      </w:r>
      <w:r>
        <w:rPr>
          <w:rStyle w:val="NoSpacingChar"/>
          <w:rFonts w:ascii="Times New Roman" w:hAnsi="Times New Roman"/>
          <w:sz w:val="24"/>
          <w:szCs w:val="24"/>
        </w:rPr>
        <w:t xml:space="preserve">  </w:t>
      </w:r>
      <w:hyperlink r:id="rId31" w:history="1">
        <w:r w:rsidRPr="00767238">
          <w:rPr>
            <w:rStyle w:val="Hyperlink"/>
          </w:rPr>
          <w:t>The Institutional Effectiveness Committee</w:t>
        </w:r>
      </w:hyperlink>
      <w:r w:rsidRPr="00B95B01">
        <w:rPr>
          <w:rStyle w:val="EndnoteReference"/>
        </w:rPr>
        <w:endnoteReference w:id="25"/>
      </w:r>
      <w:r w:rsidRPr="00B95B01">
        <w:t xml:space="preserve"> </w:t>
      </w:r>
      <w:r w:rsidRPr="003F1A5A">
        <w:rPr>
          <w:rStyle w:val="NoSpacingChar"/>
          <w:rFonts w:ascii="Times New Roman" w:hAnsi="Times New Roman"/>
          <w:sz w:val="24"/>
          <w:szCs w:val="24"/>
        </w:rPr>
        <w:t xml:space="preserve">reviews the assessment data and reports to </w:t>
      </w:r>
      <w:r>
        <w:rPr>
          <w:rStyle w:val="NoSpacingChar"/>
          <w:rFonts w:ascii="Times New Roman" w:hAnsi="Times New Roman"/>
          <w:sz w:val="24"/>
          <w:szCs w:val="24"/>
        </w:rPr>
        <w:t xml:space="preserve">the </w:t>
      </w:r>
      <w:r w:rsidRPr="003F1A5A">
        <w:rPr>
          <w:rStyle w:val="NoSpacingChar"/>
          <w:rFonts w:ascii="Times New Roman" w:hAnsi="Times New Roman"/>
          <w:sz w:val="24"/>
          <w:szCs w:val="24"/>
        </w:rPr>
        <w:t>D</w:t>
      </w:r>
      <w:r>
        <w:rPr>
          <w:rStyle w:val="NoSpacingChar"/>
          <w:rFonts w:ascii="Times New Roman" w:hAnsi="Times New Roman"/>
          <w:sz w:val="24"/>
          <w:szCs w:val="24"/>
        </w:rPr>
        <w:t xml:space="preserve">istrict </w:t>
      </w:r>
      <w:r w:rsidRPr="003F1A5A">
        <w:rPr>
          <w:rStyle w:val="NoSpacingChar"/>
          <w:rFonts w:ascii="Times New Roman" w:hAnsi="Times New Roman"/>
          <w:sz w:val="24"/>
          <w:szCs w:val="24"/>
        </w:rPr>
        <w:t>P</w:t>
      </w:r>
      <w:r>
        <w:rPr>
          <w:rStyle w:val="NoSpacingChar"/>
          <w:rFonts w:ascii="Times New Roman" w:hAnsi="Times New Roman"/>
          <w:sz w:val="24"/>
          <w:szCs w:val="24"/>
        </w:rPr>
        <w:t xml:space="preserve">lanning and </w:t>
      </w:r>
      <w:r w:rsidRPr="003F1A5A">
        <w:rPr>
          <w:rStyle w:val="NoSpacingChar"/>
          <w:rFonts w:ascii="Times New Roman" w:hAnsi="Times New Roman"/>
          <w:sz w:val="24"/>
          <w:szCs w:val="24"/>
        </w:rPr>
        <w:t>A</w:t>
      </w:r>
      <w:r>
        <w:rPr>
          <w:rStyle w:val="NoSpacingChar"/>
          <w:rFonts w:ascii="Times New Roman" w:hAnsi="Times New Roman"/>
          <w:sz w:val="24"/>
          <w:szCs w:val="24"/>
        </w:rPr>
        <w:t xml:space="preserve">dvisory </w:t>
      </w:r>
      <w:r w:rsidRPr="003F1A5A">
        <w:rPr>
          <w:rStyle w:val="NoSpacingChar"/>
          <w:rFonts w:ascii="Times New Roman" w:hAnsi="Times New Roman"/>
          <w:sz w:val="24"/>
          <w:szCs w:val="24"/>
        </w:rPr>
        <w:t>C</w:t>
      </w:r>
      <w:r>
        <w:rPr>
          <w:rStyle w:val="NoSpacingChar"/>
          <w:rFonts w:ascii="Times New Roman" w:hAnsi="Times New Roman"/>
          <w:sz w:val="24"/>
          <w:szCs w:val="24"/>
        </w:rPr>
        <w:t>ouncil</w:t>
      </w:r>
      <w:r w:rsidR="00D553D6">
        <w:rPr>
          <w:rStyle w:val="NoSpacingChar"/>
          <w:rFonts w:ascii="Times New Roman" w:hAnsi="Times New Roman"/>
          <w:sz w:val="24"/>
          <w:szCs w:val="24"/>
        </w:rPr>
        <w:t xml:space="preserve"> (DPAC), the College’s central planning body, </w:t>
      </w:r>
      <w:r w:rsidRPr="003F1A5A">
        <w:rPr>
          <w:rStyle w:val="NoSpacingChar"/>
          <w:rFonts w:ascii="Times New Roman" w:hAnsi="Times New Roman"/>
          <w:sz w:val="24"/>
          <w:szCs w:val="24"/>
        </w:rPr>
        <w:t>on the degree to which</w:t>
      </w:r>
      <w:r>
        <w:rPr>
          <w:rStyle w:val="NoSpacingChar"/>
          <w:rFonts w:ascii="Times New Roman" w:hAnsi="Times New Roman"/>
          <w:sz w:val="24"/>
          <w:szCs w:val="24"/>
        </w:rPr>
        <w:t xml:space="preserve"> ILOs, Strategic I</w:t>
      </w:r>
      <w:r w:rsidRPr="003F1A5A">
        <w:rPr>
          <w:rStyle w:val="NoSpacingChar"/>
          <w:rFonts w:ascii="Times New Roman" w:hAnsi="Times New Roman"/>
          <w:sz w:val="24"/>
          <w:szCs w:val="24"/>
        </w:rPr>
        <w:t>nitiatives, and the Supporting Goals of the College are achieved.</w:t>
      </w:r>
    </w:p>
    <w:p w14:paraId="50707A4A" w14:textId="77777777" w:rsidR="0003285B" w:rsidRDefault="0003285B" w:rsidP="006A14B7"/>
    <w:p w14:paraId="3866AA2F" w14:textId="42580A71" w:rsidR="0003285B" w:rsidRPr="001D286C" w:rsidRDefault="0003285B" w:rsidP="001D286C">
      <w:r>
        <w:t>The College has also established five Supporting Goals that serve as a roadmap for the College as it works to achieve its Vision and Mission:</w:t>
      </w:r>
    </w:p>
    <w:p w14:paraId="559B8F9C" w14:textId="279BE5A1" w:rsidR="0003285B" w:rsidRPr="001D286C" w:rsidRDefault="0003285B" w:rsidP="008C34CA">
      <w:pPr>
        <w:pStyle w:val="ListParagraph"/>
        <w:numPr>
          <w:ilvl w:val="0"/>
          <w:numId w:val="29"/>
        </w:numPr>
        <w:spacing w:after="0" w:line="240" w:lineRule="auto"/>
        <w:rPr>
          <w:sz w:val="24"/>
          <w:szCs w:val="24"/>
        </w:rPr>
      </w:pPr>
      <w:r>
        <w:rPr>
          <w:sz w:val="24"/>
          <w:szCs w:val="24"/>
        </w:rPr>
        <w:t>Maintain an innovative and responsive academic environment.</w:t>
      </w:r>
    </w:p>
    <w:p w14:paraId="4BE138E6" w14:textId="6F458C5E" w:rsidR="0003285B" w:rsidRDefault="0003285B" w:rsidP="008C34CA">
      <w:pPr>
        <w:pStyle w:val="ListParagraph"/>
        <w:numPr>
          <w:ilvl w:val="0"/>
          <w:numId w:val="29"/>
        </w:numPr>
        <w:spacing w:after="0" w:line="240" w:lineRule="auto"/>
        <w:rPr>
          <w:sz w:val="24"/>
          <w:szCs w:val="24"/>
        </w:rPr>
      </w:pPr>
      <w:r>
        <w:rPr>
          <w:sz w:val="24"/>
          <w:szCs w:val="24"/>
        </w:rPr>
        <w:t>Provide a supportive learning environment.</w:t>
      </w:r>
    </w:p>
    <w:p w14:paraId="1A50B89B" w14:textId="6A24E49F" w:rsidR="0003285B" w:rsidRPr="001D286C" w:rsidRDefault="0003285B" w:rsidP="008C34CA">
      <w:pPr>
        <w:pStyle w:val="ListParagraph"/>
        <w:numPr>
          <w:ilvl w:val="0"/>
          <w:numId w:val="29"/>
        </w:numPr>
        <w:spacing w:after="0" w:line="240" w:lineRule="auto"/>
        <w:rPr>
          <w:sz w:val="24"/>
          <w:szCs w:val="24"/>
        </w:rPr>
      </w:pPr>
      <w:r>
        <w:rPr>
          <w:sz w:val="24"/>
          <w:szCs w:val="24"/>
        </w:rPr>
        <w:t>Ensure a stable fiscal environment.</w:t>
      </w:r>
    </w:p>
    <w:p w14:paraId="25C6DF1D" w14:textId="0B91E5FA" w:rsidR="0003285B" w:rsidRPr="001D286C" w:rsidRDefault="0003285B" w:rsidP="008C34CA">
      <w:pPr>
        <w:pStyle w:val="ListParagraph"/>
        <w:numPr>
          <w:ilvl w:val="0"/>
          <w:numId w:val="29"/>
        </w:numPr>
        <w:spacing w:after="0" w:line="240" w:lineRule="auto"/>
        <w:rPr>
          <w:sz w:val="24"/>
          <w:szCs w:val="24"/>
        </w:rPr>
      </w:pPr>
      <w:r>
        <w:rPr>
          <w:sz w:val="24"/>
          <w:szCs w:val="24"/>
        </w:rPr>
        <w:t>Offer a sustainable physical plant.</w:t>
      </w:r>
    </w:p>
    <w:p w14:paraId="596A15FA" w14:textId="77777777" w:rsidR="0003285B" w:rsidRPr="001D286C" w:rsidRDefault="0003285B" w:rsidP="008C34CA">
      <w:pPr>
        <w:pStyle w:val="ListParagraph"/>
        <w:numPr>
          <w:ilvl w:val="0"/>
          <w:numId w:val="29"/>
        </w:numPr>
        <w:spacing w:after="0" w:line="240" w:lineRule="auto"/>
        <w:rPr>
          <w:sz w:val="24"/>
          <w:szCs w:val="24"/>
        </w:rPr>
      </w:pPr>
      <w:r>
        <w:rPr>
          <w:sz w:val="24"/>
          <w:szCs w:val="24"/>
        </w:rPr>
        <w:t>Facilitate a supportive collegial environment.</w:t>
      </w:r>
    </w:p>
    <w:p w14:paraId="55DA0BBC" w14:textId="77777777" w:rsidR="0003285B" w:rsidRPr="001D286C" w:rsidRDefault="0003285B" w:rsidP="001D286C">
      <w:pPr>
        <w:pStyle w:val="ListParagraph"/>
        <w:spacing w:after="0" w:line="240" w:lineRule="auto"/>
        <w:rPr>
          <w:sz w:val="24"/>
          <w:szCs w:val="24"/>
        </w:rPr>
      </w:pPr>
    </w:p>
    <w:p w14:paraId="29010510" w14:textId="44E03289" w:rsidR="0003285B" w:rsidRDefault="0003285B" w:rsidP="001D286C">
      <w:r>
        <w:t xml:space="preserve">With leadership from the Institutional Effectiveness Committee and the Office of Institutional Research, the College has identified more than 40 </w:t>
      </w:r>
      <w:hyperlink r:id="rId32" w:history="1">
        <w:r w:rsidRPr="00767238">
          <w:rPr>
            <w:rStyle w:val="Hyperlink"/>
          </w:rPr>
          <w:t>key indicators</w:t>
        </w:r>
      </w:hyperlink>
      <w:r w:rsidR="00B41F76">
        <w:rPr>
          <w:rStyle w:val="EndnoteReference"/>
        </w:rPr>
        <w:endnoteReference w:id="26"/>
      </w:r>
      <w:r>
        <w:t xml:space="preserve"> to measure the College’s success in achieving these Supporting Goals.  </w:t>
      </w:r>
    </w:p>
    <w:p w14:paraId="272C0185" w14:textId="77777777" w:rsidR="0003285B" w:rsidRDefault="0003285B" w:rsidP="001D286C"/>
    <w:p w14:paraId="6A08C378" w14:textId="05A0BF04" w:rsidR="0003285B" w:rsidRPr="00D4628B" w:rsidRDefault="0003285B" w:rsidP="001D286C">
      <w:r w:rsidRPr="00D4628B">
        <w:t>To assess the degree to which the College is achieving these indicators, the Academic Senate Joint Institutional Effectiveness Committee</w:t>
      </w:r>
      <w:r>
        <w:t xml:space="preserve"> has established</w:t>
      </w:r>
      <w:r w:rsidRPr="00D4628B">
        <w:t xml:space="preserve"> an institutional effectiveness process that documents the College’s performance toward these Supporting Goals.  </w:t>
      </w:r>
      <w:r>
        <w:t xml:space="preserve">This </w:t>
      </w:r>
      <w:r w:rsidRPr="00D4628B">
        <w:t xml:space="preserve">process, organized by Supporting Goal, aims to monitor and review data using participatory governance to inform institutional strategies.  It is an ongoing and dynamic process that responds to the changing needs and priorities of the College.  These key indicators were purposefully designed to measure the institutional Supporting Goals and are systematically monitored and collected on a regular basis.  Analysis of these key indicators serves as the basis for an annual </w:t>
      </w:r>
      <w:hyperlink r:id="rId33" w:history="1">
        <w:r w:rsidRPr="00122F29">
          <w:rPr>
            <w:rStyle w:val="Hyperlink"/>
          </w:rPr>
          <w:t>Institutional Effectiveness Report</w:t>
        </w:r>
      </w:hyperlink>
      <w:r w:rsidRPr="00122F29">
        <w:rPr>
          <w:rStyle w:val="EndnoteReference"/>
        </w:rPr>
        <w:endnoteReference w:id="27"/>
      </w:r>
      <w:r w:rsidRPr="00122F29">
        <w:rPr>
          <w:vertAlign w:val="superscript"/>
        </w:rPr>
        <w:t>,</w:t>
      </w:r>
      <w:r w:rsidRPr="00122F29">
        <w:t xml:space="preserve"> which has been produced since 2010-2011</w:t>
      </w:r>
      <w:r w:rsidRPr="00D4628B">
        <w:t xml:space="preserve">. </w:t>
      </w:r>
      <w:r>
        <w:t xml:space="preserve"> </w:t>
      </w:r>
      <w:r w:rsidRPr="00D4628B">
        <w:t xml:space="preserve">A web-based </w:t>
      </w:r>
      <w:hyperlink r:id="rId34" w:history="1">
        <w:r w:rsidRPr="00833E14">
          <w:rPr>
            <w:rStyle w:val="Hyperlink"/>
          </w:rPr>
          <w:t>Institutional Dashboard</w:t>
        </w:r>
      </w:hyperlink>
      <w:r w:rsidRPr="00D4628B">
        <w:rPr>
          <w:rStyle w:val="EndnoteReference"/>
        </w:rPr>
        <w:endnoteReference w:id="28"/>
      </w:r>
      <w:r w:rsidRPr="00D4628B">
        <w:t xml:space="preserve"> was added in 2012-2013 to provide a more visual representation of progress.  </w:t>
      </w:r>
    </w:p>
    <w:p w14:paraId="6D3FC754" w14:textId="77777777" w:rsidR="0003285B" w:rsidRPr="00D4628B" w:rsidRDefault="0003285B" w:rsidP="001D286C"/>
    <w:p w14:paraId="15B061DA" w14:textId="05D06980" w:rsidR="0003285B" w:rsidRPr="00D4628B" w:rsidRDefault="0003285B" w:rsidP="00D4628B">
      <w:pPr>
        <w:pStyle w:val="CommentText"/>
        <w:rPr>
          <w:sz w:val="24"/>
          <w:szCs w:val="24"/>
        </w:rPr>
      </w:pPr>
      <w:r w:rsidRPr="00D4628B">
        <w:rPr>
          <w:sz w:val="24"/>
          <w:szCs w:val="24"/>
        </w:rPr>
        <w:t>The Institutional Effectiveness Report is not intended for reporting to external agencies such as federal, state, and accreditation</w:t>
      </w:r>
      <w:r>
        <w:rPr>
          <w:sz w:val="24"/>
          <w:szCs w:val="24"/>
        </w:rPr>
        <w:t xml:space="preserve"> agencies</w:t>
      </w:r>
      <w:r w:rsidRPr="00D4628B">
        <w:rPr>
          <w:sz w:val="24"/>
          <w:szCs w:val="24"/>
        </w:rPr>
        <w:t>.  Instead, the report primarily functions as an internal tool for the College to engage in self-evaluation of its Mission and the College’s purpose.  However, when possible and appropriate, key indicators are aligned with and built on measures in federal and statewide accountability and research reports, including the American Association of Community Colleges’ report on educational attainment of community college students and the Accountability for Reporting California Community Colleges (ARCC).  Key indicators are identified and measured on the basis of p</w:t>
      </w:r>
      <w:r>
        <w:rPr>
          <w:sz w:val="24"/>
          <w:szCs w:val="24"/>
        </w:rPr>
        <w:t>arameters and qualities such as the following:</w:t>
      </w:r>
    </w:p>
    <w:p w14:paraId="2AA6AA6F" w14:textId="17482D7B" w:rsidR="0003285B" w:rsidRPr="00763DB7" w:rsidRDefault="0003285B" w:rsidP="00EB0675">
      <w:pPr>
        <w:pStyle w:val="ListParagraph"/>
        <w:numPr>
          <w:ilvl w:val="0"/>
          <w:numId w:val="7"/>
        </w:numPr>
        <w:spacing w:after="0" w:line="240" w:lineRule="auto"/>
        <w:ind w:left="720"/>
        <w:rPr>
          <w:sz w:val="24"/>
          <w:szCs w:val="24"/>
        </w:rPr>
      </w:pPr>
      <w:r w:rsidRPr="00763DB7">
        <w:rPr>
          <w:sz w:val="24"/>
          <w:szCs w:val="24"/>
        </w:rPr>
        <w:t>Stabl</w:t>
      </w:r>
      <w:r>
        <w:rPr>
          <w:sz w:val="24"/>
          <w:szCs w:val="24"/>
        </w:rPr>
        <w:t>e, consistent, and fair: Focus</w:t>
      </w:r>
      <w:r w:rsidRPr="00763DB7">
        <w:rPr>
          <w:sz w:val="24"/>
          <w:szCs w:val="24"/>
        </w:rPr>
        <w:t xml:space="preserve"> on measures that can be at least som</w:t>
      </w:r>
      <w:r>
        <w:rPr>
          <w:sz w:val="24"/>
          <w:szCs w:val="24"/>
        </w:rPr>
        <w:t>ewhat influenced by the College.</w:t>
      </w:r>
    </w:p>
    <w:p w14:paraId="56E52DAE" w14:textId="3E7782EB" w:rsidR="0003285B" w:rsidRPr="00763DB7" w:rsidRDefault="0003285B" w:rsidP="00EB0675">
      <w:pPr>
        <w:pStyle w:val="ListParagraph"/>
        <w:numPr>
          <w:ilvl w:val="0"/>
          <w:numId w:val="7"/>
        </w:numPr>
        <w:spacing w:after="0" w:line="240" w:lineRule="auto"/>
        <w:ind w:left="720"/>
        <w:rPr>
          <w:sz w:val="24"/>
          <w:szCs w:val="24"/>
        </w:rPr>
      </w:pPr>
      <w:r w:rsidRPr="00763DB7">
        <w:rPr>
          <w:sz w:val="24"/>
          <w:szCs w:val="24"/>
        </w:rPr>
        <w:t>Aggregated a</w:t>
      </w:r>
      <w:r>
        <w:rPr>
          <w:sz w:val="24"/>
          <w:szCs w:val="24"/>
        </w:rPr>
        <w:t>nd institution-focused: Include</w:t>
      </w:r>
      <w:r w:rsidRPr="00763DB7">
        <w:rPr>
          <w:sz w:val="24"/>
          <w:szCs w:val="24"/>
        </w:rPr>
        <w:t xml:space="preserve"> aggregated student a</w:t>
      </w:r>
      <w:r>
        <w:rPr>
          <w:sz w:val="24"/>
          <w:szCs w:val="24"/>
        </w:rPr>
        <w:t>nd institutional data on major C</w:t>
      </w:r>
      <w:r w:rsidRPr="00763DB7">
        <w:rPr>
          <w:sz w:val="24"/>
          <w:szCs w:val="24"/>
        </w:rPr>
        <w:t>ollege mil</w:t>
      </w:r>
      <w:r>
        <w:rPr>
          <w:sz w:val="24"/>
          <w:szCs w:val="24"/>
        </w:rPr>
        <w:t>estones and outcomes and avoid</w:t>
      </w:r>
      <w:r w:rsidRPr="00763DB7">
        <w:rPr>
          <w:sz w:val="24"/>
          <w:szCs w:val="24"/>
        </w:rPr>
        <w:t xml:space="preserve"> data that are too narrow or focus on evaluating sp</w:t>
      </w:r>
      <w:r>
        <w:rPr>
          <w:sz w:val="24"/>
          <w:szCs w:val="24"/>
        </w:rPr>
        <w:t>ecific programs or departments.</w:t>
      </w:r>
    </w:p>
    <w:p w14:paraId="31163F62" w14:textId="77C5AAFD" w:rsidR="0003285B" w:rsidRPr="00763DB7" w:rsidRDefault="0003285B" w:rsidP="00EB0675">
      <w:pPr>
        <w:pStyle w:val="ListParagraph"/>
        <w:numPr>
          <w:ilvl w:val="0"/>
          <w:numId w:val="7"/>
        </w:numPr>
        <w:spacing w:after="0" w:line="240" w:lineRule="auto"/>
        <w:ind w:left="720"/>
        <w:rPr>
          <w:sz w:val="24"/>
          <w:szCs w:val="24"/>
        </w:rPr>
      </w:pPr>
      <w:r>
        <w:rPr>
          <w:sz w:val="24"/>
          <w:szCs w:val="24"/>
        </w:rPr>
        <w:t>Purely descriptive: Do</w:t>
      </w:r>
      <w:r w:rsidRPr="00763DB7">
        <w:rPr>
          <w:sz w:val="24"/>
          <w:szCs w:val="24"/>
        </w:rPr>
        <w:t xml:space="preserve"> not provide a causal (scientific) explanation (the “whys?”) for trends in performance. </w:t>
      </w:r>
      <w:r>
        <w:rPr>
          <w:sz w:val="24"/>
          <w:szCs w:val="24"/>
        </w:rPr>
        <w:t xml:space="preserve"> </w:t>
      </w:r>
      <w:r w:rsidRPr="00763DB7">
        <w:rPr>
          <w:sz w:val="24"/>
          <w:szCs w:val="24"/>
        </w:rPr>
        <w:t>They do not help us understand the relations</w:t>
      </w:r>
      <w:r>
        <w:rPr>
          <w:sz w:val="24"/>
          <w:szCs w:val="24"/>
        </w:rPr>
        <w:t>hip between inputs and outcomes;</w:t>
      </w:r>
      <w:r w:rsidRPr="00763DB7">
        <w:rPr>
          <w:sz w:val="24"/>
          <w:szCs w:val="24"/>
        </w:rPr>
        <w:t xml:space="preserve"> they simply</w:t>
      </w:r>
      <w:r>
        <w:rPr>
          <w:sz w:val="24"/>
          <w:szCs w:val="24"/>
        </w:rPr>
        <w:t xml:space="preserve"> describe the performance.</w:t>
      </w:r>
    </w:p>
    <w:p w14:paraId="3D8A5DE8" w14:textId="77777777" w:rsidR="0003285B" w:rsidRPr="00763DB7" w:rsidRDefault="0003285B" w:rsidP="00EB0675">
      <w:pPr>
        <w:pStyle w:val="ListParagraph"/>
        <w:numPr>
          <w:ilvl w:val="0"/>
          <w:numId w:val="7"/>
        </w:numPr>
        <w:spacing w:after="0" w:line="240" w:lineRule="auto"/>
        <w:ind w:left="720"/>
        <w:rPr>
          <w:sz w:val="24"/>
          <w:szCs w:val="24"/>
        </w:rPr>
      </w:pPr>
      <w:r w:rsidRPr="00763DB7">
        <w:rPr>
          <w:sz w:val="24"/>
          <w:szCs w:val="24"/>
        </w:rPr>
        <w:t xml:space="preserve">Purposeful: Are meaningful to stakeholders. Indicators are not simply a “fact book” collection of data. </w:t>
      </w:r>
    </w:p>
    <w:p w14:paraId="004155D1" w14:textId="77777777" w:rsidR="0003285B" w:rsidRDefault="0003285B" w:rsidP="001D0003">
      <w:pPr>
        <w:rPr>
          <w:color w:val="1F497D"/>
        </w:rPr>
      </w:pPr>
    </w:p>
    <w:p w14:paraId="5BE7DA78" w14:textId="78E810D4" w:rsidR="0003285B" w:rsidRPr="007C182B" w:rsidRDefault="0003285B" w:rsidP="001D0003">
      <w:r>
        <w:t>Further detail on the Institutional Effectiveness Report, Dashboard, and the full institutional effectiveness process can be found in Standard IB.</w:t>
      </w:r>
    </w:p>
    <w:p w14:paraId="68B526C0" w14:textId="77777777" w:rsidR="0003285B" w:rsidRDefault="0003285B" w:rsidP="001D0003">
      <w:pPr>
        <w:rPr>
          <w:b/>
        </w:rPr>
      </w:pPr>
    </w:p>
    <w:p w14:paraId="6DC6F4E3" w14:textId="77777777" w:rsidR="0003285B" w:rsidRDefault="0003285B" w:rsidP="00753DCB">
      <w:pPr>
        <w:keepNext/>
        <w:rPr>
          <w:b/>
        </w:rPr>
      </w:pPr>
      <w:r>
        <w:rPr>
          <w:b/>
        </w:rPr>
        <w:lastRenderedPageBreak/>
        <w:t xml:space="preserve">Use of Data to Assess Effectiveness of Mission and Direct Institutional Priorities </w:t>
      </w:r>
    </w:p>
    <w:p w14:paraId="57C76B01" w14:textId="77777777" w:rsidR="0003285B" w:rsidRDefault="0003285B" w:rsidP="00753DCB">
      <w:pPr>
        <w:keepNext/>
        <w:rPr>
          <w:b/>
        </w:rPr>
      </w:pPr>
    </w:p>
    <w:p w14:paraId="783E3C52" w14:textId="04AD968A" w:rsidR="0003285B" w:rsidRDefault="0003285B" w:rsidP="006E3467">
      <w:r>
        <w:t>The ultimate purpose of the institutional effectiveness process is to advance educational quality and promote institutional improvement.  Data drive</w:t>
      </w:r>
      <w:r w:rsidRPr="00323D79">
        <w:t xml:space="preserve"> the identification of educational needs and trends</w:t>
      </w:r>
      <w:r>
        <w:t xml:space="preserve">, which lead to the development of institutional priorities.  By using longitudinal data collected internally for processes and reports related to the Mission, Institutional Learning Outcomes, and Supporting Goals, the College identifies and prioritizes those areas needing critical attention.  The process of improving institutional effectiveness and developing new strategies to improve student achievement and learning relies on dialogue and collaborative inquiry among College constituents around institutional performance.  This analytical process drives evidence-based College planning and decision-making.  </w:t>
      </w:r>
    </w:p>
    <w:p w14:paraId="102DD19A" w14:textId="77777777" w:rsidR="0003285B" w:rsidRPr="00753DCB" w:rsidRDefault="0003285B" w:rsidP="002A6CCF">
      <w:pPr>
        <w:rPr>
          <w:b/>
        </w:rPr>
      </w:pPr>
    </w:p>
    <w:p w14:paraId="069D0D87" w14:textId="00FC1558" w:rsidR="0003285B" w:rsidRDefault="0003285B" w:rsidP="00285EB3">
      <w:pPr>
        <w:rPr>
          <w:color w:val="211D1E"/>
        </w:rPr>
      </w:pPr>
      <w:r>
        <w:rPr>
          <w:color w:val="211D1E"/>
        </w:rPr>
        <w:t xml:space="preserve">This dialogue occurs at all levels of the institution and works its way up to DPAC and the Board of Trustees.  The Board of Trustees established </w:t>
      </w:r>
      <w:hyperlink r:id="rId35" w:history="1">
        <w:r w:rsidRPr="00680E92">
          <w:rPr>
            <w:rStyle w:val="Hyperlink"/>
          </w:rPr>
          <w:t>DPAC</w:t>
        </w:r>
      </w:hyperlink>
      <w:r>
        <w:rPr>
          <w:rStyle w:val="EndnoteReference"/>
          <w:color w:val="211D1E"/>
        </w:rPr>
        <w:endnoteReference w:id="29"/>
      </w:r>
      <w:r>
        <w:rPr>
          <w:color w:val="211D1E"/>
        </w:rPr>
        <w:t xml:space="preserve"> in 2009 and recognizes it as </w:t>
      </w:r>
      <w:r w:rsidRPr="006F6299">
        <w:rPr>
          <w:i/>
          <w:color w:val="211D1E"/>
        </w:rPr>
        <w:t>“the body primarily responsible for making recommendations to the Superintendent/President on matters that are not otherwise the primary responsibility of the Academic Senate [as outlined in Board Policy 2210], the Classified Staff [as outlined in Board Policy 2220], the Associated Students [as outlined in Board Policy 2230] or the Management Association [as outlined in Board Policy 2240].”</w:t>
      </w:r>
      <w:r>
        <w:rPr>
          <w:color w:val="211D1E"/>
        </w:rPr>
        <w:t xml:space="preserve">  The main issues addressed by DPAC include planning associated with the District budget, facilities, human resources, instruction, student services, and technology.  </w:t>
      </w:r>
    </w:p>
    <w:p w14:paraId="521CB1B5" w14:textId="77777777" w:rsidR="0003285B" w:rsidRDefault="0003285B" w:rsidP="00285EB3">
      <w:pPr>
        <w:rPr>
          <w:color w:val="211D1E"/>
        </w:rPr>
      </w:pPr>
    </w:p>
    <w:p w14:paraId="31DA5967" w14:textId="078DFFB4" w:rsidR="0003285B" w:rsidRDefault="0003285B" w:rsidP="00285EB3">
      <w:pPr>
        <w:rPr>
          <w:color w:val="211D1E"/>
        </w:rPr>
      </w:pPr>
      <w:r>
        <w:rPr>
          <w:color w:val="211D1E"/>
        </w:rPr>
        <w:t xml:space="preserve">DPAC also serves as the College’s primary planning body in that it coordinates institutional planning, develops the annual </w:t>
      </w:r>
      <w:r w:rsidRPr="00B91A35">
        <w:rPr>
          <w:i/>
          <w:color w:val="211D1E"/>
        </w:rPr>
        <w:t>Master Plan for Education</w:t>
      </w:r>
      <w:r>
        <w:rPr>
          <w:i/>
          <w:color w:val="211D1E"/>
        </w:rPr>
        <w:t>,</w:t>
      </w:r>
      <w:r>
        <w:rPr>
          <w:color w:val="211D1E"/>
        </w:rPr>
        <w:t xml:space="preserve"> and oversees the long-term planning efforts of reviewing the Vision, Mission, Values, and Goals of the College.  DPAC also assesses the College’s planning process and develops new Strategic Initiatives every five years.</w:t>
      </w:r>
    </w:p>
    <w:p w14:paraId="20A4866F" w14:textId="77777777" w:rsidR="0003285B" w:rsidRDefault="0003285B" w:rsidP="00285EB3">
      <w:pPr>
        <w:rPr>
          <w:color w:val="211D1E"/>
        </w:rPr>
      </w:pPr>
    </w:p>
    <w:p w14:paraId="62C604C6" w14:textId="5879A883" w:rsidR="0003285B" w:rsidRDefault="0003285B" w:rsidP="00285EB3">
      <w:pPr>
        <w:rPr>
          <w:color w:val="211D1E"/>
        </w:rPr>
      </w:pPr>
      <w:r>
        <w:rPr>
          <w:color w:val="211D1E"/>
        </w:rPr>
        <w:t xml:space="preserve">In the spring of each year, the Academic Senate Joint Institutional Effectiveness Committee and the Office of Institutional Research present the Institutional Effectiveness Report and Dashboard to DPAC and the Board of Trustees.  This </w:t>
      </w:r>
      <w:hyperlink r:id="rId36" w:history="1">
        <w:r w:rsidRPr="007444F2">
          <w:rPr>
            <w:rStyle w:val="Hyperlink"/>
          </w:rPr>
          <w:t>report</w:t>
        </w:r>
      </w:hyperlink>
      <w:r w:rsidR="00BE460C" w:rsidRPr="00A2428E">
        <w:rPr>
          <w:rStyle w:val="EndnoteReference"/>
          <w:color w:val="211D1E"/>
        </w:rPr>
        <w:endnoteReference w:id="30"/>
      </w:r>
      <w:r w:rsidR="00BE460C">
        <w:rPr>
          <w:color w:val="211D1E"/>
        </w:rPr>
        <w:t xml:space="preserve"> </w:t>
      </w:r>
      <w:r>
        <w:rPr>
          <w:color w:val="211D1E"/>
        </w:rPr>
        <w:t xml:space="preserve"> includes recommendations based on analysis of the data findings in the Institutional Effectiveness Report and Dashboard and committee discussions focused on improving institutional effectiveness. A </w:t>
      </w:r>
      <w:hyperlink r:id="rId37" w:history="1">
        <w:r w:rsidRPr="00BE460C">
          <w:rPr>
            <w:rStyle w:val="Hyperlink"/>
          </w:rPr>
          <w:t>summary</w:t>
        </w:r>
      </w:hyperlink>
      <w:r w:rsidR="00BE460C" w:rsidRPr="002A6CCF">
        <w:rPr>
          <w:rStyle w:val="EndnoteReference"/>
        </w:rPr>
        <w:endnoteReference w:id="31"/>
      </w:r>
      <w:r>
        <w:rPr>
          <w:color w:val="211D1E"/>
        </w:rPr>
        <w:t xml:space="preserve"> outlining the recommendations made by the Institutional Effectiveness Committee in 2014-2015 and the results of those recommendations on the College’s planning is included as evidenc</w:t>
      </w:r>
      <w:r w:rsidRPr="002A6CCF">
        <w:rPr>
          <w:color w:val="211D1E"/>
        </w:rPr>
        <w:t>e</w:t>
      </w:r>
      <w:r>
        <w:rPr>
          <w:color w:val="211D1E"/>
        </w:rPr>
        <w:t>,</w:t>
      </w:r>
      <w:r w:rsidRPr="002A6CCF">
        <w:rPr>
          <w:color w:val="211D1E"/>
        </w:rPr>
        <w:t xml:space="preserve"> </w:t>
      </w:r>
      <w:r>
        <w:rPr>
          <w:color w:val="211D1E"/>
        </w:rPr>
        <w:t>and one example is provided below.</w:t>
      </w:r>
    </w:p>
    <w:p w14:paraId="42B2B200" w14:textId="77777777" w:rsidR="0003285B" w:rsidRDefault="0003285B" w:rsidP="00E7501B">
      <w:pPr>
        <w:widowControl w:val="0"/>
        <w:jc w:val="center"/>
        <w:rPr>
          <w:b/>
        </w:rPr>
      </w:pPr>
    </w:p>
    <w:p w14:paraId="28F9E791" w14:textId="00B3E2C0" w:rsidR="0003285B" w:rsidRDefault="0003285B" w:rsidP="00F34707">
      <w:pPr>
        <w:keepNext/>
        <w:keepLines/>
        <w:widowControl w:val="0"/>
        <w:jc w:val="center"/>
      </w:pPr>
      <w:r w:rsidRPr="008B7F5D">
        <w:rPr>
          <w:b/>
        </w:rPr>
        <w:lastRenderedPageBreak/>
        <w:t xml:space="preserve">Summary </w:t>
      </w:r>
      <w:r>
        <w:rPr>
          <w:b/>
        </w:rPr>
        <w:t xml:space="preserve">of Academic Senate Joint </w:t>
      </w:r>
      <w:r w:rsidRPr="008B7F5D">
        <w:rPr>
          <w:b/>
        </w:rPr>
        <w:t>Institutional Effectiveness Committee Recommendations and Resulting Impacts on College Planning</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20" w:firstRow="1" w:lastRow="0" w:firstColumn="0" w:lastColumn="0" w:noHBand="1" w:noVBand="1"/>
      </w:tblPr>
      <w:tblGrid>
        <w:gridCol w:w="2520"/>
        <w:gridCol w:w="1890"/>
        <w:gridCol w:w="5580"/>
      </w:tblGrid>
      <w:tr w:rsidR="0003285B" w:rsidRPr="0010677E" w14:paraId="1DD590F1" w14:textId="77777777" w:rsidTr="00400BE7">
        <w:trPr>
          <w:cantSplit/>
          <w:tblHeader/>
        </w:trPr>
        <w:tc>
          <w:tcPr>
            <w:tcW w:w="2520" w:type="dxa"/>
            <w:shd w:val="clear" w:color="auto" w:fill="auto"/>
            <w:vAlign w:val="center"/>
          </w:tcPr>
          <w:p w14:paraId="1B5BB44B" w14:textId="3179E909" w:rsidR="0003285B" w:rsidRPr="00400BE7" w:rsidRDefault="0003285B" w:rsidP="00F31953">
            <w:pPr>
              <w:keepNext/>
              <w:jc w:val="center"/>
              <w:rPr>
                <w:rFonts w:ascii="Calibri" w:hAnsi="Calibri"/>
                <w:b/>
                <w:color w:val="211D1E"/>
                <w:sz w:val="22"/>
                <w:szCs w:val="22"/>
              </w:rPr>
            </w:pPr>
            <w:r w:rsidRPr="00400BE7">
              <w:rPr>
                <w:rFonts w:ascii="Calibri" w:hAnsi="Calibri"/>
                <w:b/>
                <w:color w:val="211D1E"/>
                <w:sz w:val="22"/>
                <w:szCs w:val="22"/>
              </w:rPr>
              <w:t xml:space="preserve">Institutional Effectiveness Committee Recommendation Included in the </w:t>
            </w:r>
            <w:r w:rsidRPr="00400BE7">
              <w:rPr>
                <w:rFonts w:ascii="Calibri" w:hAnsi="Calibri"/>
                <w:b/>
                <w:i/>
                <w:color w:val="211D1E"/>
                <w:sz w:val="22"/>
                <w:szCs w:val="22"/>
              </w:rPr>
              <w:t>Master Plan for Education (MPE)</w:t>
            </w:r>
          </w:p>
        </w:tc>
        <w:tc>
          <w:tcPr>
            <w:tcW w:w="1890" w:type="dxa"/>
            <w:vAlign w:val="center"/>
          </w:tcPr>
          <w:p w14:paraId="28206D86" w14:textId="77777777" w:rsidR="0003285B" w:rsidRPr="00400BE7" w:rsidRDefault="0003285B" w:rsidP="00F31953">
            <w:pPr>
              <w:keepNext/>
              <w:jc w:val="center"/>
              <w:rPr>
                <w:rFonts w:ascii="Calibri" w:hAnsi="Calibri"/>
                <w:b/>
                <w:color w:val="211D1E"/>
                <w:sz w:val="22"/>
                <w:szCs w:val="22"/>
              </w:rPr>
            </w:pPr>
            <w:r w:rsidRPr="00400BE7">
              <w:rPr>
                <w:rFonts w:ascii="Calibri" w:hAnsi="Calibri"/>
                <w:b/>
                <w:color w:val="211D1E"/>
                <w:sz w:val="22"/>
                <w:szCs w:val="22"/>
              </w:rPr>
              <w:t xml:space="preserve">Corresponding </w:t>
            </w:r>
            <w:r w:rsidRPr="00400BE7">
              <w:rPr>
                <w:rFonts w:ascii="Calibri" w:hAnsi="Calibri"/>
                <w:b/>
                <w:i/>
                <w:color w:val="211D1E"/>
                <w:sz w:val="22"/>
                <w:szCs w:val="22"/>
              </w:rPr>
              <w:t>MPE</w:t>
            </w:r>
            <w:r w:rsidRPr="00400BE7">
              <w:rPr>
                <w:rFonts w:ascii="Calibri" w:hAnsi="Calibri"/>
                <w:b/>
                <w:color w:val="211D1E"/>
                <w:sz w:val="22"/>
                <w:szCs w:val="22"/>
              </w:rPr>
              <w:t xml:space="preserve"> Update Year and Objective (if applicable)</w:t>
            </w:r>
          </w:p>
        </w:tc>
        <w:tc>
          <w:tcPr>
            <w:tcW w:w="5580" w:type="dxa"/>
            <w:shd w:val="clear" w:color="auto" w:fill="auto"/>
            <w:vAlign w:val="center"/>
          </w:tcPr>
          <w:p w14:paraId="7F168412" w14:textId="77777777" w:rsidR="0003285B" w:rsidRPr="00400BE7" w:rsidRDefault="0003285B" w:rsidP="00F31953">
            <w:pPr>
              <w:keepNext/>
              <w:jc w:val="center"/>
              <w:rPr>
                <w:rFonts w:ascii="Calibri" w:hAnsi="Calibri"/>
                <w:b/>
                <w:color w:val="211D1E"/>
                <w:sz w:val="22"/>
                <w:szCs w:val="22"/>
              </w:rPr>
            </w:pPr>
            <w:r w:rsidRPr="00400BE7">
              <w:rPr>
                <w:rFonts w:ascii="Calibri" w:hAnsi="Calibri"/>
                <w:b/>
                <w:color w:val="211D1E"/>
                <w:sz w:val="22"/>
                <w:szCs w:val="22"/>
              </w:rPr>
              <w:t>Planned Benchmarks and Outcomes</w:t>
            </w:r>
          </w:p>
        </w:tc>
      </w:tr>
      <w:tr w:rsidR="0003285B" w:rsidRPr="0010677E" w14:paraId="351CCC3E" w14:textId="77777777" w:rsidTr="00400BE7">
        <w:trPr>
          <w:cantSplit/>
        </w:trPr>
        <w:tc>
          <w:tcPr>
            <w:tcW w:w="2520" w:type="dxa"/>
            <w:shd w:val="clear" w:color="auto" w:fill="auto"/>
          </w:tcPr>
          <w:p w14:paraId="25261E55" w14:textId="77777777" w:rsidR="0003285B" w:rsidRPr="00F30734" w:rsidRDefault="0003285B" w:rsidP="002329F8">
            <w:pPr>
              <w:ind w:left="72"/>
              <w:rPr>
                <w:rFonts w:ascii="Calibri" w:hAnsi="Calibri"/>
                <w:sz w:val="22"/>
              </w:rPr>
            </w:pPr>
            <w:r w:rsidRPr="00F30734">
              <w:rPr>
                <w:rFonts w:ascii="Calibri" w:hAnsi="Calibri"/>
                <w:sz w:val="22"/>
              </w:rPr>
              <w:t>The College should investigate and implement strategies to increase the Career Technical Education (CTE) completion rate based on data that indicates that the College is not meeting its institution-set standards or target goals.</w:t>
            </w:r>
          </w:p>
        </w:tc>
        <w:tc>
          <w:tcPr>
            <w:tcW w:w="1890" w:type="dxa"/>
          </w:tcPr>
          <w:p w14:paraId="42665FDF" w14:textId="77777777" w:rsidR="0003285B" w:rsidRPr="00F30734" w:rsidRDefault="0003285B" w:rsidP="002329F8">
            <w:pPr>
              <w:rPr>
                <w:rFonts w:ascii="Calibri" w:hAnsi="Calibri"/>
                <w:sz w:val="22"/>
              </w:rPr>
            </w:pPr>
            <w:r w:rsidRPr="00F30734">
              <w:rPr>
                <w:rFonts w:ascii="Calibri" w:hAnsi="Calibri"/>
                <w:sz w:val="22"/>
              </w:rPr>
              <w:t>2014-2015 Institutional Objective #2: To develop and implement strategies to improve the CTE completion rate.</w:t>
            </w:r>
          </w:p>
          <w:p w14:paraId="6C78C24E" w14:textId="77777777" w:rsidR="0003285B" w:rsidRPr="00F30734" w:rsidRDefault="0003285B" w:rsidP="002329F8">
            <w:pPr>
              <w:rPr>
                <w:rFonts w:ascii="Calibri" w:hAnsi="Calibri"/>
                <w:sz w:val="22"/>
              </w:rPr>
            </w:pPr>
          </w:p>
        </w:tc>
        <w:tc>
          <w:tcPr>
            <w:tcW w:w="5580" w:type="dxa"/>
            <w:shd w:val="clear" w:color="auto" w:fill="auto"/>
          </w:tcPr>
          <w:p w14:paraId="6FC3116F" w14:textId="77777777" w:rsidR="0003285B" w:rsidRPr="00F30734" w:rsidRDefault="0003285B" w:rsidP="00E7501B">
            <w:pPr>
              <w:pStyle w:val="ListParagraph"/>
              <w:numPr>
                <w:ilvl w:val="0"/>
                <w:numId w:val="34"/>
              </w:numPr>
              <w:spacing w:after="160" w:line="259" w:lineRule="auto"/>
              <w:ind w:left="230" w:hanging="180"/>
              <w:rPr>
                <w:rFonts w:ascii="Calibri" w:hAnsi="Calibri"/>
                <w:szCs w:val="24"/>
              </w:rPr>
            </w:pPr>
            <w:r w:rsidRPr="00F30734">
              <w:rPr>
                <w:rFonts w:ascii="Calibri" w:hAnsi="Calibri"/>
                <w:szCs w:val="24"/>
              </w:rPr>
              <w:t>Sequencing CTE program courses to create seamless pathways from local high schools to Santa Monica College.</w:t>
            </w:r>
          </w:p>
          <w:p w14:paraId="2980CD21" w14:textId="77777777" w:rsidR="0003285B" w:rsidRPr="00F30734" w:rsidRDefault="0003285B" w:rsidP="00E7501B">
            <w:pPr>
              <w:pStyle w:val="ListParagraph"/>
              <w:numPr>
                <w:ilvl w:val="0"/>
                <w:numId w:val="34"/>
              </w:numPr>
              <w:spacing w:after="160" w:line="259" w:lineRule="auto"/>
              <w:ind w:left="230" w:hanging="180"/>
              <w:rPr>
                <w:rFonts w:ascii="Calibri" w:hAnsi="Calibri"/>
                <w:szCs w:val="24"/>
              </w:rPr>
            </w:pPr>
            <w:r w:rsidRPr="00F30734">
              <w:rPr>
                <w:rFonts w:ascii="Calibri" w:hAnsi="Calibri"/>
                <w:szCs w:val="24"/>
              </w:rPr>
              <w:t>Contextualized curriculum content and accelerating completions through structured eight-week class modules.</w:t>
            </w:r>
          </w:p>
          <w:p w14:paraId="4D4A43ED" w14:textId="77777777" w:rsidR="0003285B" w:rsidRPr="00F30734" w:rsidRDefault="0003285B" w:rsidP="00E7501B">
            <w:pPr>
              <w:pStyle w:val="ListParagraph"/>
              <w:numPr>
                <w:ilvl w:val="0"/>
                <w:numId w:val="34"/>
              </w:numPr>
              <w:spacing w:after="160" w:line="259" w:lineRule="auto"/>
              <w:ind w:left="230" w:hanging="180"/>
              <w:rPr>
                <w:rFonts w:ascii="Calibri" w:hAnsi="Calibri"/>
                <w:szCs w:val="24"/>
              </w:rPr>
            </w:pPr>
            <w:r w:rsidRPr="00F30734">
              <w:rPr>
                <w:rFonts w:ascii="Calibri" w:hAnsi="Calibri"/>
                <w:szCs w:val="24"/>
              </w:rPr>
              <w:t>Development of a CTE alumni database in preparation for an expanded definition of completion that will acknowledge the success of workers who experience predetermined increases in salary based on specific course and training completion.</w:t>
            </w:r>
          </w:p>
        </w:tc>
      </w:tr>
    </w:tbl>
    <w:p w14:paraId="413C895F" w14:textId="77777777" w:rsidR="0003285B" w:rsidRDefault="0003285B" w:rsidP="00B93A17">
      <w:pPr>
        <w:pStyle w:val="NoSpacing"/>
        <w:rPr>
          <w:rFonts w:ascii="Times New Roman" w:hAnsi="Times New Roman"/>
          <w:sz w:val="24"/>
          <w:szCs w:val="24"/>
        </w:rPr>
      </w:pPr>
    </w:p>
    <w:p w14:paraId="65A7AB7D" w14:textId="52529C61" w:rsidR="0003285B" w:rsidRPr="00B93A17" w:rsidRDefault="0003285B" w:rsidP="00B93A17">
      <w:pPr>
        <w:pStyle w:val="NoSpacing"/>
        <w:rPr>
          <w:rFonts w:ascii="Times New Roman" w:hAnsi="Times New Roman"/>
          <w:sz w:val="24"/>
          <w:szCs w:val="24"/>
        </w:rPr>
      </w:pPr>
      <w:r w:rsidRPr="00B93A17">
        <w:rPr>
          <w:rFonts w:ascii="Times New Roman" w:hAnsi="Times New Roman"/>
          <w:sz w:val="24"/>
          <w:szCs w:val="24"/>
        </w:rPr>
        <w:t xml:space="preserve">In addition, the College uses local, regional, state, and national data to direct institutional priorities.  For example, during the </w:t>
      </w:r>
      <w:hyperlink r:id="rId38" w:history="1">
        <w:r w:rsidRPr="00CF4234">
          <w:rPr>
            <w:rStyle w:val="Hyperlink"/>
            <w:rFonts w:ascii="Times New Roman" w:hAnsi="Times New Roman"/>
            <w:sz w:val="24"/>
            <w:szCs w:val="24"/>
          </w:rPr>
          <w:t>2011 Strategic Planning cycle</w:t>
        </w:r>
      </w:hyperlink>
      <w:r>
        <w:rPr>
          <w:rFonts w:ascii="Times New Roman" w:hAnsi="Times New Roman"/>
          <w:sz w:val="24"/>
          <w:szCs w:val="24"/>
        </w:rPr>
        <w:t>,</w:t>
      </w:r>
      <w:r w:rsidRPr="00B93A17">
        <w:rPr>
          <w:rStyle w:val="EndnoteReference"/>
          <w:rFonts w:ascii="Times New Roman" w:hAnsi="Times New Roman"/>
          <w:sz w:val="24"/>
          <w:szCs w:val="24"/>
        </w:rPr>
        <w:endnoteReference w:id="32"/>
      </w:r>
      <w:r w:rsidRPr="00B93A17">
        <w:rPr>
          <w:rFonts w:ascii="Times New Roman" w:hAnsi="Times New Roman"/>
          <w:sz w:val="24"/>
          <w:szCs w:val="24"/>
        </w:rPr>
        <w:t xml:space="preserve"> faculty who had been following national research on the impact of non-cognitive skills on student success proposed that the College implement strategies to improve student achievement through focused emphasis on the development of non-cognitive skills.  Through a series of conversations at the student, faculty, and institutional level, this interest became known as the </w:t>
      </w:r>
      <w:hyperlink r:id="rId39" w:history="1">
        <w:r w:rsidRPr="00CF4234">
          <w:rPr>
            <w:rStyle w:val="Hyperlink"/>
            <w:rFonts w:ascii="Times New Roman" w:hAnsi="Times New Roman"/>
            <w:sz w:val="24"/>
            <w:szCs w:val="24"/>
          </w:rPr>
          <w:t>GRIT Initiative</w:t>
        </w:r>
      </w:hyperlink>
      <w:r w:rsidRPr="00B93A17">
        <w:rPr>
          <w:rStyle w:val="EndnoteReference"/>
          <w:rFonts w:ascii="Times New Roman" w:hAnsi="Times New Roman"/>
          <w:sz w:val="24"/>
          <w:szCs w:val="24"/>
        </w:rPr>
        <w:endnoteReference w:id="33"/>
      </w:r>
      <w:r w:rsidRPr="00B93A17">
        <w:rPr>
          <w:rFonts w:ascii="Times New Roman" w:hAnsi="Times New Roman"/>
          <w:sz w:val="24"/>
          <w:szCs w:val="24"/>
        </w:rPr>
        <w:t xml:space="preserve"> and was approv</w:t>
      </w:r>
      <w:r>
        <w:rPr>
          <w:rFonts w:ascii="Times New Roman" w:hAnsi="Times New Roman"/>
          <w:sz w:val="24"/>
          <w:szCs w:val="24"/>
        </w:rPr>
        <w:t>ed as one of the College’s new Strategic I</w:t>
      </w:r>
      <w:r w:rsidRPr="00B93A17">
        <w:rPr>
          <w:rFonts w:ascii="Times New Roman" w:hAnsi="Times New Roman"/>
          <w:sz w:val="24"/>
          <w:szCs w:val="24"/>
        </w:rPr>
        <w:t xml:space="preserve">nitiatives.  </w:t>
      </w:r>
    </w:p>
    <w:p w14:paraId="6C6AC04F" w14:textId="0A892F40" w:rsidR="0003285B" w:rsidRPr="007E2902" w:rsidRDefault="0003285B" w:rsidP="007E2902">
      <w:pPr>
        <w:spacing w:before="240" w:after="240"/>
      </w:pPr>
      <w:r>
        <w:t xml:space="preserve">With this increased awareness of the impact of non-cognitive skills on student success, it became evident that the Mission limited the scope of college success activities to developmental education, including math and English remediation.  After a series of discussions that took place in 2012, the Mission statement was modified to broaden the definition of </w:t>
      </w:r>
      <w:r w:rsidRPr="00601CF4">
        <w:rPr>
          <w:i/>
        </w:rPr>
        <w:t>“skills needed to succeed in college”</w:t>
      </w:r>
      <w:r>
        <w:t xml:space="preserve"> from merely developmental skills to an array of skills, including both hard and soft skills, cognitive and non-cognitive skills.  These </w:t>
      </w:r>
      <w:hyperlink r:id="rId40" w:history="1">
        <w:r w:rsidRPr="008406A7">
          <w:rPr>
            <w:rStyle w:val="Hyperlink"/>
          </w:rPr>
          <w:t>revisions</w:t>
        </w:r>
      </w:hyperlink>
      <w:r>
        <w:t xml:space="preserve"> were approved by </w:t>
      </w:r>
      <w:r w:rsidR="00D553D6">
        <w:t>DPAC</w:t>
      </w:r>
      <w:r>
        <w:t xml:space="preserve"> and the Board of Trustees,</w:t>
      </w:r>
      <w:r>
        <w:rPr>
          <w:rStyle w:val="EndnoteReference"/>
        </w:rPr>
        <w:endnoteReference w:id="34"/>
      </w:r>
      <w:r>
        <w:t xml:space="preserve"> with the new wording reading as follows: “</w:t>
      </w:r>
      <w:r w:rsidRPr="00AE10BC">
        <w:rPr>
          <w:i/>
        </w:rPr>
        <w:t xml:space="preserve">The College's programs and services assist students in the development of skills needed to succeed in college, prepare students for careers and transfer, and nurture a </w:t>
      </w:r>
      <w:r>
        <w:rPr>
          <w:i/>
        </w:rPr>
        <w:t>lifetime commitment to learning.”</w:t>
      </w:r>
    </w:p>
    <w:p w14:paraId="52B7EB98" w14:textId="5E81476F" w:rsidR="0003285B" w:rsidRPr="00E20BC1" w:rsidRDefault="0003285B" w:rsidP="001D0003">
      <w:r w:rsidRPr="00BB6C94">
        <w:t>Subsequently, as an outgrowth of GRIT efforts and to more broadly institutionalize the GRIT tenets, a fifth Institutional Learning Outcome</w:t>
      </w:r>
      <w:r>
        <w:t xml:space="preserve"> </w:t>
      </w:r>
      <w:r w:rsidRPr="00BB6C94">
        <w:t xml:space="preserve">addressing </w:t>
      </w:r>
      <w:r w:rsidRPr="00AE10BC">
        <w:t>Authentic Engagement</w:t>
      </w:r>
      <w:r w:rsidRPr="00BB6C94">
        <w:t xml:space="preserve">, defined as </w:t>
      </w:r>
      <w:r w:rsidRPr="00BB6C94">
        <w:lastRenderedPageBreak/>
        <w:t xml:space="preserve">demonstrating </w:t>
      </w:r>
      <w:r w:rsidRPr="002B4368">
        <w:rPr>
          <w:i/>
        </w:rPr>
        <w:t>“a level of engagement in the subject matter that enables and motivates the integration of acquired knowledge and skills beyond the classroom,”</w:t>
      </w:r>
      <w:r>
        <w:t xml:space="preserve"> </w:t>
      </w:r>
      <w:r w:rsidRPr="00BB6C94">
        <w:t xml:space="preserve">was added to the Institutional </w:t>
      </w:r>
      <w:r>
        <w:t xml:space="preserve">Learning </w:t>
      </w:r>
      <w:r w:rsidRPr="00BB6C94">
        <w:t xml:space="preserve">Outcomes </w:t>
      </w:r>
      <w:r>
        <w:t>(ILO) as a means of measuring the Mission</w:t>
      </w:r>
      <w:r w:rsidRPr="00BB6C94">
        <w:t>.  The articulation of a GRIT-related Institutional Learning Outcome led to t</w:t>
      </w:r>
      <w:r>
        <w:t>he development of course-level student learning o</w:t>
      </w:r>
      <w:r w:rsidRPr="00BB6C94">
        <w:t xml:space="preserve">utcomes </w:t>
      </w:r>
      <w:r>
        <w:t>(SLO) in support of the GRIT ILO</w:t>
      </w:r>
      <w:r w:rsidRPr="00BB6C94">
        <w:t>.  As a direct consequence of assessing and di</w:t>
      </w:r>
      <w:r>
        <w:t>scussing this ILO and its linked student learning outcome</w:t>
      </w:r>
      <w:r w:rsidRPr="00BB6C94">
        <w:t>s</w:t>
      </w:r>
      <w:r>
        <w:t>, the GRIT I</w:t>
      </w:r>
      <w:r w:rsidRPr="00BB6C94">
        <w:t>nitiative</w:t>
      </w:r>
      <w:r>
        <w:t xml:space="preserve"> </w:t>
      </w:r>
      <w:r w:rsidRPr="00E20BC1">
        <w:t xml:space="preserve">proposed </w:t>
      </w:r>
      <w:hyperlink r:id="rId41" w:history="1">
        <w:r w:rsidRPr="00E20BC1">
          <w:rPr>
            <w:rStyle w:val="Hyperlink"/>
          </w:rPr>
          <w:t>new programming</w:t>
        </w:r>
      </w:hyperlink>
      <w:r w:rsidRPr="00E20BC1">
        <w:rPr>
          <w:rStyle w:val="EndnoteReference"/>
        </w:rPr>
        <w:endnoteReference w:id="35"/>
      </w:r>
      <w:r w:rsidRPr="00E20BC1">
        <w:t xml:space="preserve"> to address this national movement, including the following:</w:t>
      </w:r>
    </w:p>
    <w:p w14:paraId="74D6115D" w14:textId="5800BBD8" w:rsidR="0003285B" w:rsidRDefault="0003285B" w:rsidP="00323F92">
      <w:pPr>
        <w:numPr>
          <w:ilvl w:val="0"/>
          <w:numId w:val="35"/>
        </w:numPr>
      </w:pPr>
      <w:r w:rsidRPr="00E20BC1">
        <w:t>Additional professional development</w:t>
      </w:r>
      <w:r>
        <w:t xml:space="preserve"> for faculty and staff focused on “growth mindset,” authentic engagement, and other topics;</w:t>
      </w:r>
    </w:p>
    <w:p w14:paraId="5365133F" w14:textId="72CC6B8C" w:rsidR="0003285B" w:rsidRDefault="0003285B" w:rsidP="00323F92">
      <w:pPr>
        <w:numPr>
          <w:ilvl w:val="0"/>
          <w:numId w:val="35"/>
        </w:numPr>
      </w:pPr>
      <w:r>
        <w:t xml:space="preserve">Development of the </w:t>
      </w:r>
      <w:hyperlink r:id="rId42" w:history="1">
        <w:r w:rsidRPr="008406A7">
          <w:rPr>
            <w:rStyle w:val="Hyperlink"/>
          </w:rPr>
          <w:t>SuccessNavigator</w:t>
        </w:r>
      </w:hyperlink>
      <w:r>
        <w:rPr>
          <w:rStyle w:val="EndnoteReference"/>
        </w:rPr>
        <w:endnoteReference w:id="36"/>
      </w:r>
      <w:r>
        <w:t xml:space="preserve"> tool in partnership with ETS (Educational Testing Service) to measure students’ skills in four non-cognitive domains, including academic skills, motivation/commitment, self-management, and social support; and</w:t>
      </w:r>
    </w:p>
    <w:p w14:paraId="08A3329B" w14:textId="6422A9D1" w:rsidR="0003285B" w:rsidRDefault="0003285B" w:rsidP="00323F92">
      <w:pPr>
        <w:numPr>
          <w:ilvl w:val="0"/>
          <w:numId w:val="35"/>
        </w:numPr>
      </w:pPr>
      <w:r>
        <w:t xml:space="preserve">Creation of a </w:t>
      </w:r>
      <w:hyperlink r:id="rId43" w:history="1">
        <w:r w:rsidRPr="004E747A">
          <w:rPr>
            <w:rStyle w:val="Hyperlink"/>
          </w:rPr>
          <w:t>Service-Learning Program</w:t>
        </w:r>
      </w:hyperlink>
      <w:r>
        <w:rPr>
          <w:rStyle w:val="EndnoteReference"/>
        </w:rPr>
        <w:endnoteReference w:id="37"/>
      </w:r>
      <w:r>
        <w:t xml:space="preserve"> that provides opportunities for students to gain a sense of agency while emboldening them to address community needs and developing their academic skills.</w:t>
      </w:r>
    </w:p>
    <w:p w14:paraId="77D92412" w14:textId="77777777" w:rsidR="0003285B" w:rsidRPr="00BB6C94" w:rsidRDefault="0003285B" w:rsidP="001D0003"/>
    <w:p w14:paraId="6049B67B" w14:textId="6792D111" w:rsidR="0003285B" w:rsidRPr="00915714" w:rsidRDefault="0003285B" w:rsidP="001D0003">
      <w:r>
        <w:t xml:space="preserve">As the College’s programs and efforts indicate, the collection and analysis of data to document effectiveness and assess the College’s ability to accomplish its Mission is critical to its overall success.  </w:t>
      </w:r>
      <w:r w:rsidRPr="00044092">
        <w:rPr>
          <w:rFonts w:eastAsia="Times New Roman"/>
        </w:rPr>
        <w:t>Student learning and achievement are at the core of this review</w:t>
      </w:r>
      <w:r>
        <w:rPr>
          <w:rFonts w:eastAsia="Times New Roman"/>
        </w:rPr>
        <w:t>.</w:t>
      </w:r>
    </w:p>
    <w:p w14:paraId="06EA74EA" w14:textId="77777777" w:rsidR="0003285B" w:rsidRPr="00AA628F" w:rsidRDefault="0003285B" w:rsidP="001D0003">
      <w:pPr>
        <w:rPr>
          <w:color w:val="auto"/>
        </w:rPr>
      </w:pPr>
    </w:p>
    <w:p w14:paraId="6B93DB85" w14:textId="77777777" w:rsidR="0003285B" w:rsidRPr="007C182B" w:rsidRDefault="0003285B" w:rsidP="00AA628F">
      <w:pPr>
        <w:keepNext/>
        <w:rPr>
          <w:b/>
          <w:i/>
          <w:u w:val="single"/>
        </w:rPr>
      </w:pPr>
      <w:r w:rsidRPr="007C182B">
        <w:rPr>
          <w:b/>
          <w:i/>
          <w:u w:val="single"/>
        </w:rPr>
        <w:t>Analysis</w:t>
      </w:r>
    </w:p>
    <w:p w14:paraId="22596518" w14:textId="77777777" w:rsidR="0003285B" w:rsidRDefault="0003285B" w:rsidP="00AA628F">
      <w:pPr>
        <w:keepNext/>
        <w:rPr>
          <w:color w:val="1F497D"/>
        </w:rPr>
      </w:pPr>
    </w:p>
    <w:p w14:paraId="5A881339" w14:textId="57C9C766" w:rsidR="0003285B" w:rsidRPr="002F3444" w:rsidRDefault="0003285B" w:rsidP="006E3467">
      <w:r w:rsidRPr="002F3444">
        <w:t>Santa Monica College</w:t>
      </w:r>
      <w:r>
        <w:t>’s</w:t>
      </w:r>
      <w:r w:rsidRPr="002F3444">
        <w:t xml:space="preserve"> Mission </w:t>
      </w:r>
      <w:r>
        <w:t xml:space="preserve">is </w:t>
      </w:r>
      <w:r w:rsidRPr="002F3444">
        <w:t>the foundation for program development, assessment, analysis, and improvement</w:t>
      </w:r>
      <w:r>
        <w:t xml:space="preserve"> and the College uses data on an ongoing basis to assess the effectiveness of its instructional and student support programs in achieving its Mission and direct institutional priorities.  The use of data to determine institutional effectiveness has been enabled through </w:t>
      </w:r>
      <w:r w:rsidRPr="002F3444">
        <w:t xml:space="preserve">tools and resources </w:t>
      </w:r>
      <w:r>
        <w:t>developed by the College’s Information Technology and Institutional Research offices</w:t>
      </w:r>
      <w:r w:rsidRPr="002F3444">
        <w:t xml:space="preserve">.  </w:t>
      </w:r>
      <w:r>
        <w:t>The College has also broadened the role of wh</w:t>
      </w:r>
      <w:r w:rsidRPr="002F3444">
        <w:t>at had been the Academic Senate Joint Student Learning Outcomes C</w:t>
      </w:r>
      <w:r>
        <w:t xml:space="preserve">ommittee </w:t>
      </w:r>
      <w:r w:rsidRPr="002F3444">
        <w:t xml:space="preserve">to include institutional effectiveness </w:t>
      </w:r>
      <w:r>
        <w:t xml:space="preserve">as the committee’s primary focus and responsibility </w:t>
      </w:r>
      <w:r w:rsidRPr="002F3444">
        <w:t>and renamed the</w:t>
      </w:r>
      <w:r>
        <w:t xml:space="preserve"> committee the</w:t>
      </w:r>
      <w:r w:rsidRPr="002F3444">
        <w:t xml:space="preserve"> Academic Senate Joint </w:t>
      </w:r>
      <w:hyperlink r:id="rId44" w:history="1">
        <w:r w:rsidRPr="00920D74">
          <w:rPr>
            <w:rStyle w:val="Hyperlink"/>
          </w:rPr>
          <w:t>Institutional Effectiveness Committee</w:t>
        </w:r>
      </w:hyperlink>
      <w:r>
        <w:t>.</w:t>
      </w:r>
      <w:r>
        <w:rPr>
          <w:rStyle w:val="EndnoteReference"/>
        </w:rPr>
        <w:endnoteReference w:id="38"/>
      </w:r>
      <w:r>
        <w:t xml:space="preserve">  This committee is the major driver and contributor</w:t>
      </w:r>
      <w:r w:rsidRPr="002F3444">
        <w:t xml:space="preserve"> to the assessment of institutio</w:t>
      </w:r>
      <w:r>
        <w:t>nal effectiveness, which is subsequently reviewed by all levels of the college community</w:t>
      </w:r>
      <w:r w:rsidRPr="002F3444">
        <w:t xml:space="preserve"> and constituent groups.  </w:t>
      </w:r>
    </w:p>
    <w:p w14:paraId="315652D1" w14:textId="77777777" w:rsidR="0003285B" w:rsidRPr="002F3444" w:rsidRDefault="0003285B" w:rsidP="001D286C"/>
    <w:p w14:paraId="57B3DEFC" w14:textId="2034725D" w:rsidR="0003285B" w:rsidRPr="00AA0120" w:rsidRDefault="0003285B" w:rsidP="003E5EA7">
      <w:r w:rsidRPr="002F3444">
        <w:t>Complementing these efforts have been changes to the annual master plan</w:t>
      </w:r>
      <w:r>
        <w:t>ning</w:t>
      </w:r>
      <w:r w:rsidRPr="002F3444">
        <w:t xml:space="preserve"> process and the program review process</w:t>
      </w:r>
      <w:r>
        <w:t>,</w:t>
      </w:r>
      <w:r w:rsidRPr="002F3444">
        <w:t xml:space="preserve"> which have helped to focus all program activities and i</w:t>
      </w:r>
      <w:r>
        <w:t xml:space="preserve">nstitutional </w:t>
      </w:r>
      <w:r>
        <w:lastRenderedPageBreak/>
        <w:t>priorities on addressing and supporting the Mission</w:t>
      </w:r>
      <w:r w:rsidRPr="002F3444">
        <w:t>.  Through</w:t>
      </w:r>
      <w:r>
        <w:rPr>
          <w:color w:val="FF0000"/>
        </w:rPr>
        <w:t xml:space="preserve"> </w:t>
      </w:r>
      <w:r w:rsidRPr="002F3444">
        <w:t>these</w:t>
      </w:r>
      <w:r>
        <w:rPr>
          <w:color w:val="FF0000"/>
        </w:rPr>
        <w:t xml:space="preserve"> </w:t>
      </w:r>
      <w:r>
        <w:t xml:space="preserve">efforts, the College is now able to better </w:t>
      </w:r>
      <w:r w:rsidRPr="00AA0120">
        <w:t xml:space="preserve">integrate and connect all planning processes and the data that inform these processes.  </w:t>
      </w:r>
    </w:p>
    <w:p w14:paraId="2A7E5931" w14:textId="77777777" w:rsidR="0003285B" w:rsidRDefault="0003285B" w:rsidP="001D286C"/>
    <w:p w14:paraId="37A8CF94" w14:textId="77777777" w:rsidR="0003285B" w:rsidRDefault="0003285B" w:rsidP="001D0003">
      <w:r>
        <w:t>The College’s annual assessment of institutional effectiveness analyzes longitudinal data for more than</w:t>
      </w:r>
      <w:r w:rsidRPr="00AE10BC">
        <w:t xml:space="preserve"> 40 </w:t>
      </w:r>
      <w:r>
        <w:t xml:space="preserve">key </w:t>
      </w:r>
      <w:r w:rsidRPr="00AE10BC">
        <w:t>indicators</w:t>
      </w:r>
      <w:r>
        <w:t xml:space="preserve"> that link to the College’s Mission, Institutional Learning Outcomes, and Supporting Goals and provide meaningful feedback for informing institutional priorities, goals, and objectives.  In the past few years, the College has further refined its assessment process by identifying targets for each indicator to facilitate the College’s ability to evaluate its efforts in relation to the Mission.  </w:t>
      </w:r>
    </w:p>
    <w:p w14:paraId="2908BEA6" w14:textId="77777777" w:rsidR="0003285B" w:rsidRDefault="0003285B" w:rsidP="001D0003"/>
    <w:p w14:paraId="40520FD0" w14:textId="77777777" w:rsidR="0003285B" w:rsidRDefault="0003285B" w:rsidP="00A16185">
      <w:r>
        <w:t xml:space="preserve">The Bachelor of Science degree program in Interaction Design will be subject to the same rigorous assessment and analysis as all instructional programs at the College including thorough analysis of the achievement of the SLOs and accompanying ILO core competencies. In addition, the program will be reviewed through both the annual program review process as well as the comprehensive six-year program review process. </w:t>
      </w:r>
    </w:p>
    <w:p w14:paraId="530F2D42" w14:textId="77777777" w:rsidR="0003285B" w:rsidRDefault="0003285B" w:rsidP="001D0003"/>
    <w:p w14:paraId="2A47F94E" w14:textId="7ECBE75F" w:rsidR="0003285B" w:rsidRDefault="0003285B" w:rsidP="001D0003">
      <w:r>
        <w:t xml:space="preserve">In addition, since 2012, the College has been able to disaggregate data by student gender, ethnicity/race, and age (when available) for the key indicators.  The availability of disaggregated data has been enormously helpful as the College develops targeted </w:t>
      </w:r>
      <w:hyperlink r:id="rId45" w:history="1">
        <w:r w:rsidRPr="00920D74">
          <w:rPr>
            <w:rStyle w:val="Hyperlink"/>
          </w:rPr>
          <w:t>equity plans</w:t>
        </w:r>
      </w:hyperlink>
      <w:r>
        <w:t>.</w:t>
      </w:r>
      <w:r>
        <w:rPr>
          <w:rStyle w:val="EndnoteReference"/>
        </w:rPr>
        <w:endnoteReference w:id="39"/>
      </w:r>
      <w:r>
        <w:t xml:space="preserve">  </w:t>
      </w:r>
    </w:p>
    <w:p w14:paraId="769ED461" w14:textId="77777777" w:rsidR="0003285B" w:rsidRDefault="0003285B" w:rsidP="001D0003">
      <w:pPr>
        <w:rPr>
          <w:b/>
        </w:rPr>
      </w:pPr>
    </w:p>
    <w:p w14:paraId="464695FB" w14:textId="77777777" w:rsidR="0003285B" w:rsidRPr="007C182B" w:rsidRDefault="0003285B" w:rsidP="00474D1A">
      <w:pPr>
        <w:keepNext/>
        <w:rPr>
          <w:b/>
          <w:i/>
          <w:u w:val="single"/>
        </w:rPr>
      </w:pPr>
      <w:r w:rsidRPr="007C182B">
        <w:rPr>
          <w:b/>
          <w:i/>
          <w:u w:val="single"/>
        </w:rPr>
        <w:t>Plan</w:t>
      </w:r>
    </w:p>
    <w:p w14:paraId="1CF4AB0F" w14:textId="77777777" w:rsidR="0003285B" w:rsidRDefault="0003285B" w:rsidP="00474D1A">
      <w:pPr>
        <w:keepNext/>
        <w:rPr>
          <w:b/>
        </w:rPr>
      </w:pPr>
    </w:p>
    <w:p w14:paraId="025879E5" w14:textId="77777777" w:rsidR="0003285B" w:rsidRDefault="0003285B" w:rsidP="00B7044E">
      <w:pPr>
        <w:rPr>
          <w:b/>
          <w:i/>
        </w:rPr>
      </w:pPr>
      <w:r>
        <w:t>Based on an analysis of the evidence, Santa Monica College is meeting this standard and will continue to monitor its progress.</w:t>
      </w:r>
    </w:p>
    <w:p w14:paraId="321AB421" w14:textId="77777777" w:rsidR="0003285B" w:rsidRDefault="0003285B" w:rsidP="001D0003"/>
    <w:p w14:paraId="4CD012ED" w14:textId="77777777" w:rsidR="0003285B" w:rsidRDefault="0003285B" w:rsidP="001D0003"/>
    <w:p w14:paraId="1A7367D1" w14:textId="02455D53" w:rsidR="0003285B" w:rsidRDefault="0003285B" w:rsidP="006E3467">
      <w:pPr>
        <w:keepNext/>
        <w:keepLines/>
      </w:pPr>
      <w:r>
        <w:rPr>
          <w:b/>
        </w:rPr>
        <w:t>IA.3</w:t>
      </w:r>
      <w:r>
        <w:rPr>
          <w:b/>
        </w:rPr>
        <w:tab/>
        <w:t>The institution’s programs and services are aligned with its mission. The mission guides institutional decision-making, planning, and resource allocation and informs institutional goals for student learning and achievement.</w:t>
      </w:r>
    </w:p>
    <w:p w14:paraId="5862774B" w14:textId="77777777" w:rsidR="0003285B" w:rsidRDefault="0003285B" w:rsidP="006E3467">
      <w:pPr>
        <w:keepNext/>
        <w:rPr>
          <w:b/>
          <w:u w:val="single"/>
        </w:rPr>
      </w:pPr>
    </w:p>
    <w:p w14:paraId="54876531" w14:textId="77777777" w:rsidR="0003285B" w:rsidRDefault="0003285B" w:rsidP="006E3467">
      <w:pPr>
        <w:keepNext/>
        <w:rPr>
          <w:b/>
          <w:i/>
          <w:u w:val="single"/>
        </w:rPr>
      </w:pPr>
      <w:r w:rsidRPr="00941A8E">
        <w:rPr>
          <w:b/>
          <w:i/>
          <w:u w:val="single"/>
        </w:rPr>
        <w:t>Evidence of Meeting the Standard</w:t>
      </w:r>
    </w:p>
    <w:p w14:paraId="32A72A2E" w14:textId="77777777" w:rsidR="00027D5D" w:rsidRDefault="00027D5D" w:rsidP="006E3467"/>
    <w:p w14:paraId="6941E6AF" w14:textId="77880613" w:rsidR="0003285B" w:rsidRDefault="0003285B" w:rsidP="006E3467">
      <w:pPr>
        <w:rPr>
          <w:u w:val="single"/>
        </w:rPr>
      </w:pPr>
      <w:r>
        <w:t xml:space="preserve">The institutional Mission is the guidepost toward which all programs and services offered at </w:t>
      </w:r>
      <w:r w:rsidRPr="007A1051">
        <w:t xml:space="preserve">Santa Monica College </w:t>
      </w:r>
      <w:r>
        <w:t>are developed, implemented, assessed for effectiveness, and sustained.  By providing open and affordable access to high quality undergraduate degrees and certificates, the “</w:t>
      </w:r>
      <w:r w:rsidRPr="005C729A">
        <w:rPr>
          <w:i/>
        </w:rPr>
        <w:t>College’s programs and services assist students in the development of skills needed to succeed in college, prepare students for careers and transfer, and nurture a</w:t>
      </w:r>
      <w:r>
        <w:rPr>
          <w:i/>
        </w:rPr>
        <w:t xml:space="preserve"> lifetime commitment to</w:t>
      </w:r>
      <w:r w:rsidRPr="005C729A">
        <w:rPr>
          <w:i/>
        </w:rPr>
        <w:t xml:space="preserve"> learning</w:t>
      </w:r>
      <w:r>
        <w:rPr>
          <w:i/>
        </w:rPr>
        <w:t>.</w:t>
      </w:r>
      <w:r>
        <w:t xml:space="preserve">”  The depth and variety of programs </w:t>
      </w:r>
      <w:r w:rsidRPr="007A1051">
        <w:t xml:space="preserve">demonstrate </w:t>
      </w:r>
      <w:r>
        <w:t xml:space="preserve">the institution’s commitment to the Mission.  The Mission has guided the development of and subsequent revisions of the Institutional Learning Outcomes and Supporting Goals, which in turn serve as the key indicators of institutional effectiveness.  The analysis of the data collected for these indicators drive institutional planning, decision-making, and resource allocation.  </w:t>
      </w:r>
    </w:p>
    <w:p w14:paraId="203BB845" w14:textId="77777777" w:rsidR="0003285B" w:rsidRDefault="0003285B" w:rsidP="001D0003">
      <w:pPr>
        <w:rPr>
          <w:u w:val="single"/>
        </w:rPr>
      </w:pPr>
    </w:p>
    <w:p w14:paraId="2E18E9BD" w14:textId="77777777" w:rsidR="0003285B" w:rsidRPr="00941A8E" w:rsidRDefault="0003285B" w:rsidP="00474D1A">
      <w:pPr>
        <w:keepNext/>
      </w:pPr>
      <w:smartTag w:uri="urn:schemas-microsoft-com:office:smarttags" w:element="City">
        <w:smartTag w:uri="urn:schemas-microsoft-com:office:smarttags" w:element="place">
          <w:r w:rsidRPr="00941A8E">
            <w:rPr>
              <w:b/>
            </w:rPr>
            <w:t>Mission</w:t>
          </w:r>
        </w:smartTag>
      </w:smartTag>
      <w:r w:rsidRPr="00941A8E">
        <w:rPr>
          <w:b/>
        </w:rPr>
        <w:t xml:space="preserve"> Directs Institutional Planning </w:t>
      </w:r>
    </w:p>
    <w:p w14:paraId="7472B083" w14:textId="77777777" w:rsidR="00027D5D" w:rsidRDefault="00027D5D" w:rsidP="006E3467"/>
    <w:p w14:paraId="13C1BFCA" w14:textId="2A1B3560" w:rsidR="00027D5D" w:rsidRDefault="0003285B" w:rsidP="006E3467">
      <w:r>
        <w:t>Ensuring alignment of programs and services with the Mission is at the he</w:t>
      </w:r>
      <w:r w:rsidR="00027D5D">
        <w:t xml:space="preserve">art of all planning processes and planning involves the entire college community as illustrated in the organizational </w:t>
      </w:r>
      <w:hyperlink r:id="rId46" w:history="1">
        <w:r w:rsidR="00027D5D" w:rsidRPr="007D0C05">
          <w:rPr>
            <w:rStyle w:val="Hyperlink"/>
          </w:rPr>
          <w:t>planning diagram</w:t>
        </w:r>
      </w:hyperlink>
      <w:r w:rsidR="007F1214">
        <w:rPr>
          <w:rStyle w:val="EndnoteReference"/>
        </w:rPr>
        <w:endnoteReference w:id="40"/>
      </w:r>
      <w:r w:rsidR="007F1214">
        <w:t xml:space="preserve"> and </w:t>
      </w:r>
      <w:hyperlink r:id="rId47" w:history="1">
        <w:r w:rsidR="007F1214" w:rsidRPr="007D0C05">
          <w:rPr>
            <w:rStyle w:val="Hyperlink"/>
          </w:rPr>
          <w:t>timeline</w:t>
        </w:r>
      </w:hyperlink>
      <w:r w:rsidR="007F1214">
        <w:t>,</w:t>
      </w:r>
      <w:r w:rsidR="007F1214">
        <w:rPr>
          <w:rStyle w:val="EndnoteReference"/>
        </w:rPr>
        <w:endnoteReference w:id="41"/>
      </w:r>
      <w:r w:rsidR="007F1214">
        <w:t xml:space="preserve"> which are</w:t>
      </w:r>
      <w:r w:rsidR="00027D5D">
        <w:t xml:space="preserve"> described below. </w:t>
      </w:r>
    </w:p>
    <w:p w14:paraId="6564C8D5" w14:textId="77777777" w:rsidR="00027D5D" w:rsidRDefault="00027D5D" w:rsidP="006E3467"/>
    <w:p w14:paraId="7DBBC083" w14:textId="2E789268" w:rsidR="0003285B" w:rsidRDefault="00D553D6" w:rsidP="006E3467">
      <w:r>
        <w:t xml:space="preserve">Through </w:t>
      </w:r>
      <w:hyperlink r:id="rId48" w:history="1">
        <w:r w:rsidR="0003285B" w:rsidRPr="00D553D6">
          <w:rPr>
            <w:rStyle w:val="Hyperlink"/>
          </w:rPr>
          <w:t>DPAC</w:t>
        </w:r>
      </w:hyperlink>
      <w:r w:rsidR="0003285B">
        <w:t>,</w:t>
      </w:r>
      <w:r w:rsidR="003D6F33" w:rsidRPr="003D6F33">
        <w:rPr>
          <w:rStyle w:val="EndnoteReference"/>
        </w:rPr>
        <w:t xml:space="preserve"> </w:t>
      </w:r>
      <w:r w:rsidR="003D6F33">
        <w:rPr>
          <w:rStyle w:val="EndnoteReference"/>
        </w:rPr>
        <w:endnoteReference w:id="42"/>
      </w:r>
      <w:r w:rsidR="0003285B" w:rsidRPr="009336CC">
        <w:rPr>
          <w:rStyle w:val="EndnoteReference"/>
        </w:rPr>
        <w:t xml:space="preserve"> </w:t>
      </w:r>
      <w:r w:rsidR="0003285B">
        <w:t>the College continuously reviews, documents, evaluates, and revises its planning processes to ensure that they are clear, linked, and demonstrate the manner in which decision-making, planning, and resource allocation support the Mission.</w:t>
      </w:r>
    </w:p>
    <w:p w14:paraId="26D553C8" w14:textId="77777777" w:rsidR="0003285B" w:rsidRDefault="0003285B" w:rsidP="001D0003"/>
    <w:p w14:paraId="24FFB270" w14:textId="342C13C7" w:rsidR="0003285B" w:rsidRDefault="0003285B" w:rsidP="00100CA0">
      <w:r w:rsidRPr="0015375C">
        <w:t xml:space="preserve">In accordance with the DPAC charter, </w:t>
      </w:r>
      <w:r>
        <w:t>there are five DPAC planning subcommittees: Budget, Facilities, Technology, Human Resources, and College Services, each of which align with the five Supporting Goals of the College.  Additionally, f</w:t>
      </w:r>
      <w:r w:rsidRPr="0015375C">
        <w:t>our Acad</w:t>
      </w:r>
      <w:r>
        <w:t>emic Senate J</w:t>
      </w:r>
      <w:r w:rsidRPr="0015375C">
        <w:t xml:space="preserve">oint </w:t>
      </w:r>
      <w:r>
        <w:t>C</w:t>
      </w:r>
      <w:r w:rsidRPr="0015375C">
        <w:t>ommittees ac</w:t>
      </w:r>
      <w:r>
        <w:t xml:space="preserve">t as resource liaisons to DPAC: </w:t>
      </w:r>
      <w:r w:rsidRPr="0015375C">
        <w:t>Curriculum, Program Review, Student Affairs, a</w:t>
      </w:r>
      <w:r>
        <w:t>nd Institutional Effectiveness.</w:t>
      </w:r>
      <w:r w:rsidRPr="0015375C">
        <w:t xml:space="preserve"> </w:t>
      </w:r>
      <w:r>
        <w:t xml:space="preserve"> </w:t>
      </w:r>
      <w:r w:rsidRPr="0015375C">
        <w:t xml:space="preserve">The Chair of the Department Chairs Committee also serves as a liaison to DPAC.  </w:t>
      </w:r>
    </w:p>
    <w:p w14:paraId="23224B21" w14:textId="77777777" w:rsidR="0003285B" w:rsidRDefault="0003285B" w:rsidP="00100CA0"/>
    <w:p w14:paraId="09149AC3" w14:textId="17964668" w:rsidR="0003285B" w:rsidRDefault="0003285B" w:rsidP="00904808">
      <w:r>
        <w:t xml:space="preserve">A review of the last five years of Institutional Effectiveness Reports outlines the work that the College has completed to identify indicators that effectively assess the institution’s efforts to achieve its Mission.  The College has engaged in an ongoing quality improvement process with the </w:t>
      </w:r>
      <w:hyperlink r:id="rId49" w:history="1">
        <w:r w:rsidRPr="00837006">
          <w:rPr>
            <w:rStyle w:val="Hyperlink"/>
          </w:rPr>
          <w:t>first report</w:t>
        </w:r>
      </w:hyperlink>
      <w:r>
        <w:t xml:space="preserve"> (2010-2011)</w:t>
      </w:r>
      <w:r w:rsidR="00B5575D" w:rsidRPr="00B5575D">
        <w:rPr>
          <w:rStyle w:val="EndnoteReference"/>
        </w:rPr>
        <w:t xml:space="preserve"> </w:t>
      </w:r>
      <w:r w:rsidR="00B5575D">
        <w:rPr>
          <w:rStyle w:val="EndnoteReference"/>
        </w:rPr>
        <w:endnoteReference w:id="43"/>
      </w:r>
      <w:r>
        <w:t xml:space="preserve"> reflecting the steps taken to build an inventory of potential key indicators.  </w:t>
      </w:r>
      <w:r w:rsidRPr="003D6F33">
        <w:t>Each</w:t>
      </w:r>
      <w:r>
        <w:t xml:space="preserve"> </w:t>
      </w:r>
      <w:r w:rsidRPr="003D6F33">
        <w:t>subsequent</w:t>
      </w:r>
      <w:r>
        <w:t xml:space="preserve"> </w:t>
      </w:r>
      <w:r w:rsidRPr="003D6F33">
        <w:t>report</w:t>
      </w:r>
      <w:r>
        <w:t xml:space="preserve"> </w:t>
      </w:r>
      <w:r w:rsidR="00B5575D">
        <w:t>(</w:t>
      </w:r>
      <w:hyperlink r:id="rId50" w:history="1">
        <w:r w:rsidR="00B5575D" w:rsidRPr="003D6F33">
          <w:rPr>
            <w:rStyle w:val="Hyperlink"/>
          </w:rPr>
          <w:t>2013</w:t>
        </w:r>
      </w:hyperlink>
      <w:r w:rsidR="00B5575D">
        <w:t>,</w:t>
      </w:r>
      <w:r w:rsidR="00B5575D">
        <w:rPr>
          <w:rStyle w:val="EndnoteReference"/>
        </w:rPr>
        <w:endnoteReference w:id="44"/>
      </w:r>
      <w:r w:rsidR="00B5575D">
        <w:t xml:space="preserve"> </w:t>
      </w:r>
      <w:hyperlink r:id="rId51" w:history="1">
        <w:r w:rsidR="00B5575D" w:rsidRPr="003D6F33">
          <w:rPr>
            <w:rStyle w:val="Hyperlink"/>
          </w:rPr>
          <w:t>2014</w:t>
        </w:r>
      </w:hyperlink>
      <w:r w:rsidR="00B5575D">
        <w:rPr>
          <w:rStyle w:val="EndnoteReference"/>
        </w:rPr>
        <w:endnoteReference w:id="45"/>
      </w:r>
      <w:r w:rsidR="00B5575D">
        <w:t xml:space="preserve">, </w:t>
      </w:r>
      <w:hyperlink r:id="rId52" w:history="1">
        <w:r w:rsidR="00B5575D" w:rsidRPr="003D6F33">
          <w:rPr>
            <w:rStyle w:val="Hyperlink"/>
          </w:rPr>
          <w:t>2015</w:t>
        </w:r>
      </w:hyperlink>
      <w:r w:rsidR="00E835AF">
        <w:t>,</w:t>
      </w:r>
      <w:r w:rsidR="00B5575D">
        <w:rPr>
          <w:rStyle w:val="EndnoteReference"/>
        </w:rPr>
        <w:endnoteReference w:id="46"/>
      </w:r>
      <w:r w:rsidR="00B5575D">
        <w:t xml:space="preserve">) </w:t>
      </w:r>
      <w:r>
        <w:t xml:space="preserve">demonstrates the College’s commitment to establishing data sets that accurately measure performance by highlighting revisions, additions, and deletions to the key indicators and the reasons for those changes.  </w:t>
      </w:r>
    </w:p>
    <w:p w14:paraId="6ADFF717" w14:textId="77777777" w:rsidR="0003285B" w:rsidRDefault="0003285B" w:rsidP="00100CA0"/>
    <w:p w14:paraId="50BDE04E" w14:textId="5ACF4EC4" w:rsidR="0003285B" w:rsidRDefault="0003285B" w:rsidP="00100CA0">
      <w:r w:rsidRPr="0015375C">
        <w:t xml:space="preserve">DPAC is responsible for the College’s core planning document, the </w:t>
      </w:r>
      <w:hyperlink r:id="rId53" w:history="1">
        <w:r w:rsidRPr="006D1FC5">
          <w:rPr>
            <w:rStyle w:val="Hyperlink"/>
            <w:i/>
          </w:rPr>
          <w:t>Master Plan for Education</w:t>
        </w:r>
      </w:hyperlink>
      <w:r>
        <w:t>.</w:t>
      </w:r>
      <w:r w:rsidRPr="00155EA5">
        <w:rPr>
          <w:rStyle w:val="EndnoteReference"/>
        </w:rPr>
        <w:endnoteReference w:id="47"/>
      </w:r>
      <w:r>
        <w:t xml:space="preserve">  T</w:t>
      </w:r>
      <w:r w:rsidRPr="00100CA0">
        <w:t xml:space="preserve">he College adopted its first formal </w:t>
      </w:r>
      <w:r w:rsidRPr="00100CA0">
        <w:rPr>
          <w:i/>
          <w:iCs/>
        </w:rPr>
        <w:t>Master Plan for Education</w:t>
      </w:r>
      <w:r>
        <w:rPr>
          <w:i/>
          <w:iCs/>
        </w:rPr>
        <w:t xml:space="preserve"> </w:t>
      </w:r>
      <w:r>
        <w:rPr>
          <w:iCs/>
        </w:rPr>
        <w:t>in 1997</w:t>
      </w:r>
      <w:r w:rsidRPr="00100CA0">
        <w:t>, and the plan has been reviewed</w:t>
      </w:r>
      <w:r>
        <w:t xml:space="preserve"> </w:t>
      </w:r>
      <w:r w:rsidRPr="00100CA0">
        <w:t>and updated</w:t>
      </w:r>
      <w:r>
        <w:t xml:space="preserve"> annually since its inception.  </w:t>
      </w:r>
      <w:r w:rsidRPr="00100CA0">
        <w:t xml:space="preserve">In accordance with the </w:t>
      </w:r>
      <w:r w:rsidRPr="00E20BC1">
        <w:t xml:space="preserve">College’s </w:t>
      </w:r>
      <w:hyperlink r:id="rId54" w:history="1">
        <w:r w:rsidRPr="00E20BC1">
          <w:rPr>
            <w:rStyle w:val="Hyperlink"/>
          </w:rPr>
          <w:t>planning process</w:t>
        </w:r>
      </w:hyperlink>
      <w:r w:rsidRPr="00E20BC1">
        <w:t>,</w:t>
      </w:r>
      <w:r w:rsidR="00566552" w:rsidRPr="00E20BC1">
        <w:rPr>
          <w:rStyle w:val="EndnoteReference"/>
        </w:rPr>
        <w:endnoteReference w:id="48"/>
      </w:r>
      <w:r w:rsidR="00566552" w:rsidRPr="00E20BC1">
        <w:t xml:space="preserve"> </w:t>
      </w:r>
      <w:r w:rsidRPr="00E20BC1">
        <w:t>the</w:t>
      </w:r>
      <w:r>
        <w:t xml:space="preserve"> </w:t>
      </w:r>
      <w:r w:rsidRPr="00100CA0">
        <w:t>document is revised every five years as part of the long-term strategic planning process.</w:t>
      </w:r>
      <w:r>
        <w:t xml:space="preserve">  </w:t>
      </w:r>
      <w:r w:rsidRPr="00100CA0">
        <w:t>This includes a review of the College’s Vision, Mission</w:t>
      </w:r>
      <w:r>
        <w:t xml:space="preserve">, and Goals, taking into consideration the College’s progress toward achieving its </w:t>
      </w:r>
      <w:r>
        <w:lastRenderedPageBreak/>
        <w:t xml:space="preserve">Goals and Outcomes, as outlined in its Institutional Effectiveness Reports (particularly data analysis for key indicators), and local, regional, and national trends in student learning and achievement.  </w:t>
      </w:r>
    </w:p>
    <w:p w14:paraId="2AC8CF51" w14:textId="77777777" w:rsidR="0003285B" w:rsidRDefault="0003285B" w:rsidP="00100CA0"/>
    <w:p w14:paraId="3F0B6990" w14:textId="497A8DAC" w:rsidR="0003285B" w:rsidRDefault="0003285B" w:rsidP="00100CA0">
      <w:r>
        <w:t>With this information, the college community identifies two or more</w:t>
      </w:r>
      <w:r w:rsidRPr="00100CA0">
        <w:t xml:space="preserve"> long-term strategic initiatives to </w:t>
      </w:r>
      <w:r>
        <w:t>incorporate into the in</w:t>
      </w:r>
      <w:r w:rsidRPr="00100CA0">
        <w:t>s</w:t>
      </w:r>
      <w:r>
        <w:t xml:space="preserve">titutional planning process to support student learning.  For the past ten years, the College has been working on six strategic initiatives, which are listed in the annual </w:t>
      </w:r>
      <w:r w:rsidRPr="00277D8F">
        <w:rPr>
          <w:i/>
        </w:rPr>
        <w:t>Master Plan for Education</w:t>
      </w:r>
      <w:r>
        <w:t xml:space="preserve"> Update,</w:t>
      </w:r>
      <w:r w:rsidR="00CE7FF1">
        <w:t xml:space="preserve"> </w:t>
      </w:r>
      <w:r>
        <w:t xml:space="preserve">including four from the </w:t>
      </w:r>
      <w:hyperlink r:id="rId55" w:history="1">
        <w:r w:rsidRPr="00C54620">
          <w:rPr>
            <w:rStyle w:val="Hyperlink"/>
          </w:rPr>
          <w:t>Fall 2006 review</w:t>
        </w:r>
      </w:hyperlink>
      <w:r w:rsidR="00CE7FF1">
        <w:rPr>
          <w:rStyle w:val="EndnoteReference"/>
        </w:rPr>
        <w:endnoteReference w:id="49"/>
      </w:r>
      <w:r>
        <w:t xml:space="preserve"> and two from the </w:t>
      </w:r>
      <w:hyperlink r:id="rId56" w:history="1">
        <w:r w:rsidRPr="00C54620">
          <w:rPr>
            <w:rStyle w:val="Hyperlink"/>
          </w:rPr>
          <w:t>Fall 2011 review</w:t>
        </w:r>
      </w:hyperlink>
      <w:r>
        <w:t>.</w:t>
      </w:r>
      <w:r w:rsidR="00CE7FF1" w:rsidRPr="00CE7FF1">
        <w:rPr>
          <w:rStyle w:val="EndnoteReference"/>
        </w:rPr>
        <w:t xml:space="preserve"> </w:t>
      </w:r>
      <w:r w:rsidR="00CE7FF1">
        <w:rPr>
          <w:rStyle w:val="EndnoteReference"/>
        </w:rPr>
        <w:endnoteReference w:id="50"/>
      </w:r>
      <w:r>
        <w:t xml:space="preserve">  These initiatives align with key components of the institutional Mission.  In 2006, four initiatives were developed that addressed Basic Skills (Developmental Education), Global Citizenship, Sustainable Campus, and Career Technical Education.  In the 2011 review of the Vision, Mission, and Goals statements, the Strategic Planning Task Force recommended minor revisions to these statements and added </w:t>
      </w:r>
      <w:hyperlink r:id="rId57" w:history="1">
        <w:r w:rsidRPr="00C54620">
          <w:rPr>
            <w:rStyle w:val="Hyperlink"/>
          </w:rPr>
          <w:t>two new College initiatives</w:t>
        </w:r>
      </w:hyperlink>
      <w:r>
        <w:t>: GRIT (Growth/Resilience/Integrity/Tenacity) and I</w:t>
      </w:r>
      <w:r>
        <w:rPr>
          <w:vertAlign w:val="superscript"/>
        </w:rPr>
        <w:t xml:space="preserve">3 </w:t>
      </w:r>
      <w:r>
        <w:t>(Institutional Imagination Initiative).</w:t>
      </w:r>
      <w:r>
        <w:rPr>
          <w:rStyle w:val="EndnoteReference"/>
        </w:rPr>
        <w:endnoteReference w:id="51"/>
      </w:r>
      <w:r>
        <w:t xml:space="preserve">  </w:t>
      </w:r>
    </w:p>
    <w:p w14:paraId="33DD8F42" w14:textId="77777777" w:rsidR="0003285B" w:rsidRDefault="0003285B" w:rsidP="00100CA0"/>
    <w:p w14:paraId="6F3D8A76" w14:textId="13CB4477" w:rsidR="0003285B" w:rsidRDefault="0003285B" w:rsidP="00100CA0">
      <w:pPr>
        <w:autoSpaceDE w:val="0"/>
        <w:autoSpaceDN w:val="0"/>
        <w:adjustRightInd w:val="0"/>
      </w:pPr>
      <w:r>
        <w:t xml:space="preserve">In addition to the five-year long-term planning process, which includes both a revision to the </w:t>
      </w:r>
      <w:r w:rsidRPr="00B91A35">
        <w:rPr>
          <w:i/>
        </w:rPr>
        <w:t>Master Plan for Education</w:t>
      </w:r>
      <w:r>
        <w:t xml:space="preserve"> and the identification of Strategic Initiatives, the College completes an annual update to the </w:t>
      </w:r>
      <w:r w:rsidRPr="005026A3">
        <w:rPr>
          <w:i/>
          <w:iCs/>
        </w:rPr>
        <w:t>Master Plan for Education</w:t>
      </w:r>
      <w:r>
        <w:t xml:space="preserve"> in order to identify key institutional objectives for the coming year(s).  Correspondingly, the College determines how each objective relates to the Mission and aligns with one or more Institutional Learning Outcomes, Supporting Goals, or Strategic Initiatives while also identifying the program(s) responsible for achieving the objective, creating the timeline, and allocating the resources necessary for success.  The </w:t>
      </w:r>
      <w:hyperlink r:id="rId58" w:history="1">
        <w:r w:rsidRPr="00174FD6">
          <w:rPr>
            <w:rStyle w:val="Hyperlink"/>
          </w:rPr>
          <w:t>report</w:t>
        </w:r>
      </w:hyperlink>
      <w:r w:rsidR="00223CE9">
        <w:rPr>
          <w:rStyle w:val="EndnoteReference"/>
        </w:rPr>
        <w:endnoteReference w:id="52"/>
      </w:r>
      <w:r>
        <w:t xml:space="preserve"> also includes an update on previous year objectives, </w:t>
      </w:r>
      <w:r w:rsidRPr="005026A3">
        <w:t>categorizing each as Completed, Substantially</w:t>
      </w:r>
      <w:r>
        <w:t xml:space="preserve"> </w:t>
      </w:r>
      <w:r w:rsidRPr="005026A3">
        <w:t>Completed, Addressed, or Not Addressed</w:t>
      </w:r>
      <w:r>
        <w:t xml:space="preserve">.  The </w:t>
      </w:r>
      <w:r w:rsidRPr="00B91A35">
        <w:rPr>
          <w:i/>
        </w:rPr>
        <w:t>Master Plan for Education</w:t>
      </w:r>
      <w:r>
        <w:t xml:space="preserve"> updates incorporate a num</w:t>
      </w:r>
      <w:r w:rsidRPr="005026A3">
        <w:t>ber of related planning</w:t>
      </w:r>
      <w:r>
        <w:t xml:space="preserve"> documents, including</w:t>
      </w:r>
      <w:r w:rsidRPr="005026A3">
        <w:t>:</w:t>
      </w:r>
    </w:p>
    <w:p w14:paraId="78789E46" w14:textId="623B5AA6" w:rsidR="0003285B" w:rsidRDefault="0003285B" w:rsidP="00E57D97">
      <w:pPr>
        <w:pStyle w:val="ListParagraph"/>
        <w:numPr>
          <w:ilvl w:val="0"/>
          <w:numId w:val="36"/>
        </w:numPr>
        <w:autoSpaceDE w:val="0"/>
        <w:autoSpaceDN w:val="0"/>
        <w:adjustRightInd w:val="0"/>
      </w:pPr>
      <w:r>
        <w:t>Strategic Planning Initiatives</w:t>
      </w:r>
    </w:p>
    <w:p w14:paraId="2B2915F0" w14:textId="53B4CF03" w:rsidR="0003285B" w:rsidRDefault="0040306F" w:rsidP="00E57D97">
      <w:pPr>
        <w:pStyle w:val="ListParagraph"/>
        <w:numPr>
          <w:ilvl w:val="0"/>
          <w:numId w:val="36"/>
        </w:numPr>
        <w:autoSpaceDE w:val="0"/>
        <w:autoSpaceDN w:val="0"/>
        <w:adjustRightInd w:val="0"/>
      </w:pPr>
      <w:hyperlink r:id="rId59" w:history="1">
        <w:r w:rsidR="0003285B" w:rsidRPr="00C54620">
          <w:rPr>
            <w:rStyle w:val="Hyperlink"/>
          </w:rPr>
          <w:t>Academic Senate Objectives</w:t>
        </w:r>
      </w:hyperlink>
      <w:r w:rsidR="0003285B">
        <w:rPr>
          <w:rStyle w:val="EndnoteReference"/>
        </w:rPr>
        <w:endnoteReference w:id="53"/>
      </w:r>
    </w:p>
    <w:p w14:paraId="5955E96B" w14:textId="128BF74E" w:rsidR="0003285B" w:rsidRDefault="0040306F" w:rsidP="00E57D97">
      <w:pPr>
        <w:pStyle w:val="ListParagraph"/>
        <w:numPr>
          <w:ilvl w:val="0"/>
          <w:numId w:val="36"/>
        </w:numPr>
        <w:autoSpaceDE w:val="0"/>
        <w:autoSpaceDN w:val="0"/>
        <w:adjustRightInd w:val="0"/>
      </w:pPr>
      <w:hyperlink r:id="rId60" w:history="1">
        <w:r w:rsidR="0003285B" w:rsidRPr="00C54620">
          <w:rPr>
            <w:rStyle w:val="Hyperlink"/>
            <w:i/>
          </w:rPr>
          <w:t>Master Plan for</w:t>
        </w:r>
        <w:r w:rsidR="0003285B" w:rsidRPr="00C54620">
          <w:rPr>
            <w:rStyle w:val="Hyperlink"/>
          </w:rPr>
          <w:t xml:space="preserve"> </w:t>
        </w:r>
        <w:r w:rsidR="0003285B" w:rsidRPr="00C54620">
          <w:rPr>
            <w:rStyle w:val="Hyperlink"/>
            <w:i/>
          </w:rPr>
          <w:t>Facilities</w:t>
        </w:r>
      </w:hyperlink>
      <w:r w:rsidR="0003285B">
        <w:rPr>
          <w:rStyle w:val="EndnoteReference"/>
        </w:rPr>
        <w:endnoteReference w:id="54"/>
      </w:r>
    </w:p>
    <w:p w14:paraId="551B0E49" w14:textId="3F6A29B3" w:rsidR="0003285B" w:rsidRDefault="0040306F" w:rsidP="00E57D97">
      <w:pPr>
        <w:pStyle w:val="ListParagraph"/>
        <w:numPr>
          <w:ilvl w:val="0"/>
          <w:numId w:val="36"/>
        </w:numPr>
        <w:autoSpaceDE w:val="0"/>
        <w:autoSpaceDN w:val="0"/>
        <w:adjustRightInd w:val="0"/>
      </w:pPr>
      <w:hyperlink r:id="rId61" w:history="1">
        <w:r w:rsidR="0003285B" w:rsidRPr="00C54620">
          <w:rPr>
            <w:rStyle w:val="Hyperlink"/>
            <w:i/>
          </w:rPr>
          <w:t>Master Plan for Technology</w:t>
        </w:r>
      </w:hyperlink>
      <w:r w:rsidR="0003285B">
        <w:rPr>
          <w:rStyle w:val="EndnoteReference"/>
        </w:rPr>
        <w:endnoteReference w:id="55"/>
      </w:r>
    </w:p>
    <w:p w14:paraId="267915E5" w14:textId="1FCFAB87" w:rsidR="0003285B" w:rsidRDefault="0003285B" w:rsidP="00E57D97">
      <w:pPr>
        <w:pStyle w:val="ListParagraph"/>
        <w:numPr>
          <w:ilvl w:val="0"/>
          <w:numId w:val="36"/>
        </w:numPr>
        <w:autoSpaceDE w:val="0"/>
        <w:autoSpaceDN w:val="0"/>
        <w:adjustRightInd w:val="0"/>
      </w:pPr>
      <w:r>
        <w:lastRenderedPageBreak/>
        <w:t xml:space="preserve">Academic Senate Joint Institutional Effectiveness Committee </w:t>
      </w:r>
      <w:hyperlink r:id="rId62" w:history="1">
        <w:r w:rsidRPr="00C54620">
          <w:rPr>
            <w:rStyle w:val="Hyperlink"/>
          </w:rPr>
          <w:t>Annual Report</w:t>
        </w:r>
      </w:hyperlink>
      <w:r>
        <w:rPr>
          <w:rStyle w:val="EndnoteReference"/>
        </w:rPr>
        <w:endnoteReference w:id="56"/>
      </w:r>
    </w:p>
    <w:p w14:paraId="51F7FD1B" w14:textId="15101D98" w:rsidR="0003285B" w:rsidRDefault="0003285B" w:rsidP="00E57D97">
      <w:pPr>
        <w:pStyle w:val="ListParagraph"/>
        <w:numPr>
          <w:ilvl w:val="0"/>
          <w:numId w:val="36"/>
        </w:numPr>
        <w:autoSpaceDE w:val="0"/>
        <w:autoSpaceDN w:val="0"/>
        <w:adjustRightInd w:val="0"/>
      </w:pPr>
      <w:r>
        <w:t>Student/Institutional Learning Outcomes</w:t>
      </w:r>
    </w:p>
    <w:p w14:paraId="3AEEE9AD" w14:textId="3AFF2A3F" w:rsidR="0003285B" w:rsidRDefault="0040306F" w:rsidP="00E57D97">
      <w:pPr>
        <w:pStyle w:val="ListParagraph"/>
        <w:numPr>
          <w:ilvl w:val="0"/>
          <w:numId w:val="36"/>
        </w:numPr>
        <w:autoSpaceDE w:val="0"/>
        <w:autoSpaceDN w:val="0"/>
        <w:adjustRightInd w:val="0"/>
      </w:pPr>
      <w:hyperlink r:id="rId63" w:history="1">
        <w:r w:rsidR="0003285B" w:rsidRPr="00C54620">
          <w:rPr>
            <w:rStyle w:val="Hyperlink"/>
          </w:rPr>
          <w:t>DPAC Annual Report</w:t>
        </w:r>
      </w:hyperlink>
      <w:r w:rsidR="0003285B">
        <w:rPr>
          <w:rStyle w:val="EndnoteReference"/>
        </w:rPr>
        <w:endnoteReference w:id="57"/>
      </w:r>
    </w:p>
    <w:p w14:paraId="22C5AA33" w14:textId="4A1C1E50" w:rsidR="0003285B" w:rsidRDefault="0003285B" w:rsidP="00E57D97">
      <w:pPr>
        <w:pStyle w:val="ListParagraph"/>
        <w:numPr>
          <w:ilvl w:val="0"/>
          <w:numId w:val="36"/>
        </w:numPr>
        <w:autoSpaceDE w:val="0"/>
        <w:autoSpaceDN w:val="0"/>
        <w:adjustRightInd w:val="0"/>
      </w:pPr>
      <w:r>
        <w:t xml:space="preserve">Academic Senate Joint Program Review Committee </w:t>
      </w:r>
      <w:hyperlink r:id="rId64" w:history="1">
        <w:r w:rsidRPr="00C54620">
          <w:rPr>
            <w:rStyle w:val="Hyperlink"/>
          </w:rPr>
          <w:t>Annual Recommendations</w:t>
        </w:r>
      </w:hyperlink>
      <w:r>
        <w:rPr>
          <w:rStyle w:val="EndnoteReference"/>
        </w:rPr>
        <w:endnoteReference w:id="58"/>
      </w:r>
    </w:p>
    <w:p w14:paraId="2283AE65" w14:textId="7829F077" w:rsidR="0003285B" w:rsidRDefault="0003285B" w:rsidP="00E57D97">
      <w:pPr>
        <w:pStyle w:val="ListParagraph"/>
        <w:numPr>
          <w:ilvl w:val="0"/>
          <w:numId w:val="36"/>
        </w:numPr>
        <w:autoSpaceDE w:val="0"/>
        <w:autoSpaceDN w:val="0"/>
        <w:adjustRightInd w:val="0"/>
      </w:pPr>
      <w:r>
        <w:t xml:space="preserve">Board of Trustees </w:t>
      </w:r>
      <w:hyperlink r:id="rId65" w:history="1">
        <w:r w:rsidRPr="00C54620">
          <w:rPr>
            <w:rStyle w:val="Hyperlink"/>
          </w:rPr>
          <w:t>Goals and Priorities</w:t>
        </w:r>
      </w:hyperlink>
      <w:r>
        <w:rPr>
          <w:rStyle w:val="EndnoteReference"/>
        </w:rPr>
        <w:endnoteReference w:id="59"/>
      </w:r>
    </w:p>
    <w:p w14:paraId="575A2E0E" w14:textId="6EDFF4C8" w:rsidR="0003285B" w:rsidRDefault="0003285B" w:rsidP="00987765">
      <w:pPr>
        <w:pStyle w:val="ListParagraph"/>
        <w:numPr>
          <w:ilvl w:val="0"/>
          <w:numId w:val="36"/>
        </w:numPr>
        <w:autoSpaceDE w:val="0"/>
        <w:autoSpaceDN w:val="0"/>
        <w:adjustRightInd w:val="0"/>
      </w:pPr>
      <w:r>
        <w:t>Adopted Budget</w:t>
      </w:r>
    </w:p>
    <w:p w14:paraId="546A6D0D" w14:textId="02AA087E" w:rsidR="0003285B" w:rsidRPr="005A7062" w:rsidRDefault="0003285B" w:rsidP="006C7831">
      <w:pPr>
        <w:pStyle w:val="NoSpacing"/>
        <w:rPr>
          <w:rFonts w:ascii="Times New Roman" w:hAnsi="Times New Roman"/>
          <w:color w:val="00000A"/>
          <w:sz w:val="24"/>
          <w:szCs w:val="24"/>
        </w:rPr>
      </w:pPr>
      <w:r w:rsidRPr="005A7062">
        <w:rPr>
          <w:rFonts w:ascii="Times New Roman" w:hAnsi="Times New Roman"/>
          <w:sz w:val="24"/>
          <w:szCs w:val="24"/>
        </w:rPr>
        <w:t xml:space="preserve">These documents have as their foundation the Mission of the College and play a role in ensuring that the College is achieving its educational purpose and supporting student learning and achievement.  DPAC </w:t>
      </w:r>
      <w:r>
        <w:rPr>
          <w:rFonts w:ascii="Times New Roman" w:hAnsi="Times New Roman"/>
          <w:sz w:val="24"/>
          <w:szCs w:val="24"/>
        </w:rPr>
        <w:t>uses them</w:t>
      </w:r>
      <w:r w:rsidRPr="005A7062">
        <w:rPr>
          <w:rFonts w:ascii="Times New Roman" w:hAnsi="Times New Roman"/>
          <w:sz w:val="24"/>
          <w:szCs w:val="24"/>
        </w:rPr>
        <w:t xml:space="preserve"> in the development of new institutional </w:t>
      </w:r>
      <w:r>
        <w:rPr>
          <w:rFonts w:ascii="Times New Roman" w:hAnsi="Times New Roman"/>
          <w:sz w:val="24"/>
          <w:szCs w:val="24"/>
        </w:rPr>
        <w:t xml:space="preserve">annual </w:t>
      </w:r>
      <w:r w:rsidRPr="005A7062">
        <w:rPr>
          <w:rFonts w:ascii="Times New Roman" w:hAnsi="Times New Roman"/>
          <w:sz w:val="24"/>
          <w:szCs w:val="24"/>
        </w:rPr>
        <w:t>objectives</w:t>
      </w:r>
      <w:r>
        <w:rPr>
          <w:rFonts w:ascii="Times New Roman" w:hAnsi="Times New Roman"/>
          <w:sz w:val="24"/>
          <w:szCs w:val="24"/>
        </w:rPr>
        <w:t>,</w:t>
      </w:r>
      <w:r w:rsidRPr="005A7062">
        <w:rPr>
          <w:rFonts w:ascii="Times New Roman" w:hAnsi="Times New Roman"/>
          <w:sz w:val="24"/>
          <w:szCs w:val="24"/>
        </w:rPr>
        <w:t xml:space="preserve"> focusing on those that directly pertain to the Mission of the institution, as well as its Institutional Learning Outcomes</w:t>
      </w:r>
      <w:r>
        <w:rPr>
          <w:rFonts w:ascii="Times New Roman" w:hAnsi="Times New Roman"/>
          <w:sz w:val="24"/>
          <w:szCs w:val="24"/>
        </w:rPr>
        <w:t>,</w:t>
      </w:r>
      <w:r w:rsidRPr="005A7062">
        <w:rPr>
          <w:rFonts w:ascii="Times New Roman" w:hAnsi="Times New Roman"/>
          <w:sz w:val="24"/>
          <w:szCs w:val="24"/>
        </w:rPr>
        <w:t xml:space="preserve"> Supporting Goals</w:t>
      </w:r>
      <w:r>
        <w:rPr>
          <w:rFonts w:ascii="Times New Roman" w:hAnsi="Times New Roman"/>
          <w:sz w:val="24"/>
          <w:szCs w:val="24"/>
        </w:rPr>
        <w:t xml:space="preserve">, and Strategic Initiatives. </w:t>
      </w:r>
    </w:p>
    <w:p w14:paraId="11E67A18" w14:textId="77777777" w:rsidR="0003285B" w:rsidRDefault="0003285B" w:rsidP="006C7831">
      <w:pPr>
        <w:pStyle w:val="NoSpacing"/>
        <w:rPr>
          <w:rFonts w:ascii="Times New Roman" w:hAnsi="Times New Roman"/>
          <w:sz w:val="24"/>
          <w:szCs w:val="24"/>
        </w:rPr>
      </w:pPr>
    </w:p>
    <w:p w14:paraId="13A6694A" w14:textId="669C559F" w:rsidR="0003285B" w:rsidRDefault="0003285B" w:rsidP="006C7831">
      <w:pPr>
        <w:autoSpaceDE w:val="0"/>
        <w:autoSpaceDN w:val="0"/>
        <w:adjustRightInd w:val="0"/>
      </w:pPr>
      <w:r w:rsidRPr="005A7062">
        <w:t xml:space="preserve">DPAC </w:t>
      </w:r>
      <w:r>
        <w:t>developed</w:t>
      </w:r>
      <w:r w:rsidRPr="005A7062">
        <w:t xml:space="preserve"> a </w:t>
      </w:r>
      <w:hyperlink r:id="rId66" w:history="1">
        <w:r w:rsidRPr="00126998">
          <w:rPr>
            <w:rStyle w:val="Hyperlink"/>
          </w:rPr>
          <w:t>template</w:t>
        </w:r>
      </w:hyperlink>
      <w:r w:rsidRPr="005A7062">
        <w:rPr>
          <w:rStyle w:val="EndnoteReference"/>
        </w:rPr>
        <w:endnoteReference w:id="60"/>
      </w:r>
      <w:r w:rsidRPr="005A7062">
        <w:rPr>
          <w:rStyle w:val="CommentReference"/>
          <w:sz w:val="24"/>
          <w:szCs w:val="24"/>
        </w:rPr>
        <w:t xml:space="preserve"> </w:t>
      </w:r>
      <w:r w:rsidRPr="005A7062">
        <w:t xml:space="preserve">to help facilitate the development of potential objectives </w:t>
      </w:r>
      <w:r>
        <w:t xml:space="preserve">that </w:t>
      </w:r>
      <w:r w:rsidRPr="005A7062">
        <w:t>align with the College’s Mission</w:t>
      </w:r>
      <w:r>
        <w:t xml:space="preserve"> and G</w:t>
      </w:r>
      <w:r w:rsidRPr="005A7062">
        <w:t xml:space="preserve">oals, as well as with the priorities and recommendations developed by various planning bodies.  All constituent groups represented on DPAC may also submit </w:t>
      </w:r>
      <w:hyperlink r:id="rId67" w:history="1">
        <w:r w:rsidRPr="0074302E">
          <w:rPr>
            <w:rStyle w:val="Hyperlink"/>
          </w:rPr>
          <w:t>proposed objectives</w:t>
        </w:r>
      </w:hyperlink>
      <w:r w:rsidRPr="005A7062">
        <w:t xml:space="preserve"> for consideration.</w:t>
      </w:r>
      <w:r w:rsidR="0074302E" w:rsidRPr="0074302E">
        <w:rPr>
          <w:rStyle w:val="EndnoteReference"/>
          <w:color w:val="0000FF"/>
        </w:rPr>
        <w:t xml:space="preserve"> </w:t>
      </w:r>
      <w:r w:rsidR="0074302E" w:rsidRPr="0074302E">
        <w:rPr>
          <w:rStyle w:val="EndnoteReference"/>
          <w:color w:val="auto"/>
        </w:rPr>
        <w:endnoteReference w:id="61"/>
      </w:r>
      <w:r w:rsidRPr="005A7062">
        <w:t xml:space="preserve"> </w:t>
      </w:r>
      <w:r>
        <w:t xml:space="preserve"> </w:t>
      </w:r>
      <w:r w:rsidRPr="005A7062">
        <w:t xml:space="preserve">DPAC’s discussions result in a </w:t>
      </w:r>
      <w:hyperlink r:id="rId68" w:history="1">
        <w:r w:rsidRPr="0074302E">
          <w:rPr>
            <w:rStyle w:val="Hyperlink"/>
          </w:rPr>
          <w:t>refinement</w:t>
        </w:r>
      </w:hyperlink>
      <w:r w:rsidR="0074302E" w:rsidRPr="0074302E">
        <w:rPr>
          <w:rStyle w:val="EndnoteReference"/>
          <w:color w:val="auto"/>
        </w:rPr>
        <w:endnoteReference w:id="62"/>
      </w:r>
      <w:r w:rsidR="0074302E" w:rsidRPr="0074302E">
        <w:rPr>
          <w:color w:val="auto"/>
        </w:rPr>
        <w:t xml:space="preserve"> </w:t>
      </w:r>
      <w:r w:rsidRPr="005A7062">
        <w:t xml:space="preserve"> of the proposed objectives, with an emphasis </w:t>
      </w:r>
      <w:r>
        <w:t xml:space="preserve">on </w:t>
      </w:r>
      <w:r w:rsidRPr="005A7062">
        <w:t>those that ar</w:t>
      </w:r>
      <w:r w:rsidRPr="00064D95">
        <w:t>e truly institutional in scope, measurable, and focused on specific outcomes in support of the Mission.  The final</w:t>
      </w:r>
      <w:r w:rsidR="00EE02D4" w:rsidRPr="00064D95">
        <w:t xml:space="preserve"> document</w:t>
      </w:r>
      <w:r w:rsidR="0074302E" w:rsidRPr="00064D95">
        <w:t xml:space="preserve"> </w:t>
      </w:r>
      <w:r w:rsidR="00EE02D4" w:rsidRPr="00064D95">
        <w:t xml:space="preserve">is then reviewed and </w:t>
      </w:r>
      <w:hyperlink r:id="rId69" w:history="1">
        <w:r w:rsidR="00EE02D4" w:rsidRPr="00064D95">
          <w:rPr>
            <w:rStyle w:val="Hyperlink"/>
          </w:rPr>
          <w:t>approved</w:t>
        </w:r>
      </w:hyperlink>
      <w:r w:rsidR="00EE02D4" w:rsidRPr="00064D95">
        <w:t xml:space="preserve"> by DPAC.</w:t>
      </w:r>
      <w:r w:rsidR="00EE02D4" w:rsidRPr="00064D95">
        <w:rPr>
          <w:rStyle w:val="EndnoteReference"/>
        </w:rPr>
        <w:endnoteReference w:id="63"/>
      </w:r>
      <w:r w:rsidR="00EE02D4">
        <w:t xml:space="preserve"> </w:t>
      </w:r>
      <w:r>
        <w:t xml:space="preserve"> </w:t>
      </w:r>
    </w:p>
    <w:p w14:paraId="146D7BAF" w14:textId="77777777" w:rsidR="0003285B" w:rsidRDefault="0003285B" w:rsidP="00525354"/>
    <w:p w14:paraId="423B63CB" w14:textId="717AE15A" w:rsidR="0003285B" w:rsidRDefault="0003285B" w:rsidP="00525354">
      <w:r w:rsidRPr="0015375C">
        <w:t xml:space="preserve">The </w:t>
      </w:r>
      <w:r w:rsidRPr="0015375C">
        <w:rPr>
          <w:i/>
        </w:rPr>
        <w:t xml:space="preserve">Master Plan for Education </w:t>
      </w:r>
      <w:r>
        <w:t>is at</w:t>
      </w:r>
      <w:r w:rsidRPr="0015375C">
        <w:t xml:space="preserve"> the core of the College's planning cycle</w:t>
      </w:r>
      <w:r>
        <w:t xml:space="preserve"> and assures that the College is developing programs and services in accordance with its Mission.  It </w:t>
      </w:r>
      <w:r w:rsidRPr="0015375C">
        <w:t>provid</w:t>
      </w:r>
      <w:r>
        <w:t>es</w:t>
      </w:r>
      <w:r w:rsidRPr="0015375C">
        <w:t xml:space="preserve"> the annual roadmap that both coordinates and relies upon recommendations, assessments</w:t>
      </w:r>
      <w:r>
        <w:t>,</w:t>
      </w:r>
      <w:r w:rsidRPr="0015375C">
        <w:t xml:space="preserve"> and other forms of </w:t>
      </w:r>
      <w:r>
        <w:t>input from lower-tier</w:t>
      </w:r>
      <w:r w:rsidRPr="0015375C">
        <w:t xml:space="preserve"> planning functions</w:t>
      </w:r>
      <w:r>
        <w:t xml:space="preserve">.  Since its inception, DPAC has made or recommended multiple additions, changes and adjustments to the process, its timelines, and the documents that inform the annual update to the </w:t>
      </w:r>
      <w:r>
        <w:rPr>
          <w:i/>
        </w:rPr>
        <w:t xml:space="preserve">Master Plan for Education </w:t>
      </w:r>
      <w:r>
        <w:t>to ensure that the Mission is at the heart of all institutional planning</w:t>
      </w:r>
      <w:r w:rsidR="00B46AEB">
        <w:t>, as described below:</w:t>
      </w:r>
      <w:r>
        <w:t xml:space="preserve">  </w:t>
      </w:r>
    </w:p>
    <w:p w14:paraId="1C105552" w14:textId="4EF3BFE2" w:rsidR="0003285B" w:rsidRDefault="00B46AEB" w:rsidP="00B46AEB">
      <w:pPr>
        <w:pStyle w:val="ListParagraph"/>
        <w:numPr>
          <w:ilvl w:val="0"/>
          <w:numId w:val="9"/>
        </w:numPr>
        <w:spacing w:before="60" w:after="60" w:line="240" w:lineRule="auto"/>
        <w:contextualSpacing w:val="0"/>
        <w:rPr>
          <w:sz w:val="24"/>
          <w:szCs w:val="24"/>
        </w:rPr>
      </w:pPr>
      <w:r>
        <w:rPr>
          <w:sz w:val="24"/>
          <w:szCs w:val="24"/>
        </w:rPr>
        <w:t xml:space="preserve">The College refined its institutional </w:t>
      </w:r>
      <w:r w:rsidR="0003285B" w:rsidRPr="00AE10BC">
        <w:rPr>
          <w:sz w:val="24"/>
          <w:szCs w:val="24"/>
        </w:rPr>
        <w:t xml:space="preserve">objectives to ensure </w:t>
      </w:r>
      <w:r w:rsidR="0003285B">
        <w:rPr>
          <w:sz w:val="24"/>
          <w:szCs w:val="24"/>
        </w:rPr>
        <w:t xml:space="preserve">that </w:t>
      </w:r>
      <w:r w:rsidR="0003285B" w:rsidRPr="00AE10BC">
        <w:rPr>
          <w:sz w:val="24"/>
          <w:szCs w:val="24"/>
        </w:rPr>
        <w:t xml:space="preserve">they are truly institutional in scope, measurable, and appropriate for completion within a year. </w:t>
      </w:r>
      <w:r w:rsidR="0003285B">
        <w:rPr>
          <w:sz w:val="24"/>
          <w:szCs w:val="24"/>
        </w:rPr>
        <w:t xml:space="preserve"> In 2012-2013, 100% of the institutional objectives were completed or substantially completed as</w:t>
      </w:r>
      <w:r>
        <w:rPr>
          <w:sz w:val="24"/>
          <w:szCs w:val="24"/>
        </w:rPr>
        <w:t xml:space="preserve"> compared to 82% in 2011-2012. </w:t>
      </w:r>
    </w:p>
    <w:p w14:paraId="5CA8B5E3" w14:textId="4D86C4E3" w:rsidR="0003285B" w:rsidRDefault="0003285B" w:rsidP="00B46AEB">
      <w:pPr>
        <w:pStyle w:val="ListParagraph"/>
        <w:numPr>
          <w:ilvl w:val="0"/>
          <w:numId w:val="9"/>
        </w:numPr>
        <w:spacing w:before="60" w:after="60" w:line="240" w:lineRule="auto"/>
        <w:contextualSpacing w:val="0"/>
        <w:rPr>
          <w:sz w:val="24"/>
          <w:szCs w:val="24"/>
        </w:rPr>
      </w:pPr>
      <w:r>
        <w:rPr>
          <w:sz w:val="24"/>
          <w:szCs w:val="24"/>
        </w:rPr>
        <w:lastRenderedPageBreak/>
        <w:t xml:space="preserve">The College made substantial </w:t>
      </w:r>
      <w:r w:rsidRPr="00F31A96">
        <w:rPr>
          <w:sz w:val="24"/>
          <w:szCs w:val="24"/>
        </w:rPr>
        <w:t>revisions</w:t>
      </w:r>
      <w:r>
        <w:rPr>
          <w:rStyle w:val="CommentReference"/>
          <w:lang w:eastAsia="ja-JP"/>
        </w:rPr>
        <w:t xml:space="preserve"> </w:t>
      </w:r>
      <w:r>
        <w:rPr>
          <w:sz w:val="24"/>
          <w:szCs w:val="24"/>
        </w:rPr>
        <w:t xml:space="preserve">to the </w:t>
      </w:r>
      <w:hyperlink r:id="rId70" w:history="1">
        <w:r w:rsidRPr="00F31A96">
          <w:rPr>
            <w:rStyle w:val="Hyperlink"/>
            <w:sz w:val="24"/>
            <w:szCs w:val="24"/>
          </w:rPr>
          <w:t>program review process</w:t>
        </w:r>
      </w:hyperlink>
      <w:r>
        <w:rPr>
          <w:rStyle w:val="EndnoteReference"/>
          <w:sz w:val="24"/>
          <w:szCs w:val="24"/>
        </w:rPr>
        <w:endnoteReference w:id="64"/>
      </w:r>
      <w:r>
        <w:rPr>
          <w:sz w:val="24"/>
          <w:szCs w:val="24"/>
        </w:rPr>
        <w:t xml:space="preserve"> so that programs and services specifically address how their roles, responsibilities, and outcomes align with and impact the Mission of the College.  Programs are also now required to complete an annual program review that will facilitate the comprehensive six-year review.  </w:t>
      </w:r>
    </w:p>
    <w:p w14:paraId="2EE47EFE" w14:textId="3EE0814B" w:rsidR="0003285B" w:rsidRPr="00C77F27" w:rsidRDefault="0003285B" w:rsidP="00B46AEB">
      <w:pPr>
        <w:pStyle w:val="ListParagraph"/>
        <w:numPr>
          <w:ilvl w:val="0"/>
          <w:numId w:val="9"/>
        </w:numPr>
        <w:spacing w:before="60" w:after="60" w:line="240" w:lineRule="auto"/>
        <w:contextualSpacing w:val="0"/>
        <w:rPr>
          <w:sz w:val="24"/>
          <w:szCs w:val="24"/>
        </w:rPr>
      </w:pPr>
      <w:r w:rsidRPr="00C77F27">
        <w:rPr>
          <w:sz w:val="24"/>
          <w:szCs w:val="24"/>
        </w:rPr>
        <w:t xml:space="preserve">Timelines associated with some components of the College's planning process have changed from being based on the fiscal year to being based on the calendar year.  This has allowed planning processes to be carried out in a more logical and effective manner.  For example, both the Program Review Planning Recommendations and the Institutional Effectiveness Report are now ready in the spring in time for review and use by the College’s institutional planning bodies, including DPAC and the Board of Trustees, for inclusion in the </w:t>
      </w:r>
      <w:r w:rsidRPr="00C77F27">
        <w:rPr>
          <w:i/>
          <w:sz w:val="24"/>
          <w:szCs w:val="24"/>
        </w:rPr>
        <w:t>Master Plan for Education</w:t>
      </w:r>
      <w:r w:rsidRPr="00C77F27">
        <w:rPr>
          <w:sz w:val="24"/>
          <w:szCs w:val="24"/>
        </w:rPr>
        <w:t xml:space="preserve"> update</w:t>
      </w:r>
      <w:r>
        <w:rPr>
          <w:sz w:val="24"/>
          <w:szCs w:val="24"/>
        </w:rPr>
        <w:t xml:space="preserve"> and</w:t>
      </w:r>
      <w:r w:rsidRPr="00C77F27">
        <w:rPr>
          <w:sz w:val="24"/>
          <w:szCs w:val="24"/>
        </w:rPr>
        <w:t xml:space="preserve"> incorporated into the budget development and resource allocation process.  The following table provides an overview of the new timeline: </w:t>
      </w:r>
    </w:p>
    <w:p w14:paraId="0EE8A148" w14:textId="77777777" w:rsidR="0003285B" w:rsidRDefault="0003285B" w:rsidP="000E181B">
      <w:pPr>
        <w:pStyle w:val="ListParagraph"/>
        <w:spacing w:after="0" w:line="240" w:lineRule="auto"/>
        <w:rPr>
          <w:sz w:val="24"/>
          <w:szCs w:val="24"/>
        </w:rPr>
      </w:pPr>
    </w:p>
    <w:tbl>
      <w:tblPr>
        <w:tblW w:w="90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740"/>
      </w:tblGrid>
      <w:tr w:rsidR="0003285B" w:rsidRPr="00F34707" w14:paraId="00B9564C" w14:textId="77777777" w:rsidTr="00226177">
        <w:trPr>
          <w:tblHeader/>
        </w:trPr>
        <w:tc>
          <w:tcPr>
            <w:tcW w:w="9000" w:type="dxa"/>
            <w:gridSpan w:val="2"/>
            <w:shd w:val="clear" w:color="auto" w:fill="auto"/>
          </w:tcPr>
          <w:p w14:paraId="0D7FF3D1" w14:textId="77777777" w:rsidR="0003285B" w:rsidRPr="00F34707" w:rsidRDefault="0003285B" w:rsidP="006E3467">
            <w:pPr>
              <w:keepNext/>
              <w:jc w:val="center"/>
              <w:rPr>
                <w:rFonts w:asciiTheme="minorHAnsi" w:hAnsiTheme="minorHAnsi"/>
                <w:b/>
                <w:sz w:val="22"/>
                <w:u w:val="single"/>
              </w:rPr>
            </w:pPr>
            <w:r w:rsidRPr="00F34707">
              <w:rPr>
                <w:rFonts w:asciiTheme="minorHAnsi" w:hAnsiTheme="minorHAnsi"/>
                <w:b/>
                <w:sz w:val="22"/>
              </w:rPr>
              <w:t xml:space="preserve">Timeline for Constructing the Yearly </w:t>
            </w:r>
            <w:r w:rsidRPr="00F34707">
              <w:rPr>
                <w:rFonts w:asciiTheme="minorHAnsi" w:hAnsiTheme="minorHAnsi"/>
                <w:b/>
                <w:i/>
                <w:sz w:val="22"/>
              </w:rPr>
              <w:t>Master Plan for Education</w:t>
            </w:r>
          </w:p>
        </w:tc>
      </w:tr>
      <w:tr w:rsidR="0003285B" w:rsidRPr="00F34707" w14:paraId="1DBA97D8" w14:textId="77777777" w:rsidTr="00C677A7">
        <w:tc>
          <w:tcPr>
            <w:tcW w:w="1260" w:type="dxa"/>
            <w:shd w:val="clear" w:color="auto" w:fill="auto"/>
          </w:tcPr>
          <w:p w14:paraId="61304C04" w14:textId="77777777" w:rsidR="0003285B" w:rsidRPr="00F34707" w:rsidRDefault="0003285B" w:rsidP="006E3467">
            <w:pPr>
              <w:pStyle w:val="ListParagraph"/>
              <w:keepNext/>
              <w:spacing w:after="0" w:line="240" w:lineRule="auto"/>
              <w:ind w:left="0"/>
              <w:rPr>
                <w:rFonts w:asciiTheme="minorHAnsi" w:hAnsiTheme="minorHAnsi"/>
                <w:szCs w:val="24"/>
              </w:rPr>
            </w:pPr>
            <w:r w:rsidRPr="00F34707">
              <w:rPr>
                <w:rFonts w:asciiTheme="minorHAnsi" w:hAnsiTheme="minorHAnsi"/>
                <w:szCs w:val="24"/>
              </w:rPr>
              <w:t>March</w:t>
            </w:r>
          </w:p>
        </w:tc>
        <w:tc>
          <w:tcPr>
            <w:tcW w:w="7740" w:type="dxa"/>
            <w:shd w:val="clear" w:color="auto" w:fill="auto"/>
          </w:tcPr>
          <w:p w14:paraId="14E12E51" w14:textId="39C7B907" w:rsidR="0003285B" w:rsidRPr="00F34707" w:rsidRDefault="0003285B" w:rsidP="006E3467">
            <w:pPr>
              <w:pStyle w:val="ListParagraph"/>
              <w:keepNext/>
              <w:spacing w:after="0" w:line="240" w:lineRule="auto"/>
              <w:ind w:left="0"/>
              <w:rPr>
                <w:rFonts w:asciiTheme="minorHAnsi" w:hAnsiTheme="minorHAnsi"/>
                <w:szCs w:val="24"/>
              </w:rPr>
            </w:pPr>
            <w:r w:rsidRPr="00F34707">
              <w:rPr>
                <w:rFonts w:asciiTheme="minorHAnsi" w:hAnsiTheme="minorHAnsi"/>
                <w:szCs w:val="24"/>
              </w:rPr>
              <w:t xml:space="preserve">A schedule for developing the </w:t>
            </w:r>
            <w:r w:rsidRPr="00F34707">
              <w:rPr>
                <w:rFonts w:asciiTheme="minorHAnsi" w:hAnsiTheme="minorHAnsi"/>
                <w:i/>
                <w:szCs w:val="24"/>
              </w:rPr>
              <w:t xml:space="preserve">Master Plan for Education </w:t>
            </w:r>
            <w:r w:rsidRPr="00F34707">
              <w:rPr>
                <w:rFonts w:asciiTheme="minorHAnsi" w:hAnsiTheme="minorHAnsi"/>
                <w:szCs w:val="24"/>
              </w:rPr>
              <w:t>is presented to DPAC for information and input.</w:t>
            </w:r>
          </w:p>
        </w:tc>
      </w:tr>
      <w:tr w:rsidR="0003285B" w:rsidRPr="00F34707" w14:paraId="00D131B8" w14:textId="77777777" w:rsidTr="00C677A7">
        <w:tc>
          <w:tcPr>
            <w:tcW w:w="1260" w:type="dxa"/>
            <w:shd w:val="clear" w:color="auto" w:fill="auto"/>
          </w:tcPr>
          <w:p w14:paraId="1A5FF8B6" w14:textId="77777777"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April</w:t>
            </w:r>
          </w:p>
        </w:tc>
        <w:tc>
          <w:tcPr>
            <w:tcW w:w="7740" w:type="dxa"/>
            <w:shd w:val="clear" w:color="auto" w:fill="auto"/>
          </w:tcPr>
          <w:p w14:paraId="6ED51D47" w14:textId="72B2CA81"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DPAC reviews the current year’s institutional objectives to determine if any are to be continued.</w:t>
            </w:r>
          </w:p>
        </w:tc>
      </w:tr>
      <w:tr w:rsidR="0003285B" w:rsidRPr="00F34707" w14:paraId="20206BA9" w14:textId="77777777" w:rsidTr="00C677A7">
        <w:tc>
          <w:tcPr>
            <w:tcW w:w="1260" w:type="dxa"/>
            <w:shd w:val="clear" w:color="auto" w:fill="auto"/>
          </w:tcPr>
          <w:p w14:paraId="257CF09F" w14:textId="77777777"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June</w:t>
            </w:r>
          </w:p>
        </w:tc>
        <w:tc>
          <w:tcPr>
            <w:tcW w:w="7740" w:type="dxa"/>
            <w:shd w:val="clear" w:color="auto" w:fill="auto"/>
          </w:tcPr>
          <w:p w14:paraId="6BE7B8A9" w14:textId="77777777"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 xml:space="preserve">The Institutional Effectiveness Annual Report is reviewed by DPAC to identify possible institutional objectives. </w:t>
            </w:r>
          </w:p>
          <w:p w14:paraId="3481C934" w14:textId="77777777" w:rsidR="0003285B" w:rsidRPr="00F34707" w:rsidRDefault="0003285B" w:rsidP="00B8556E">
            <w:pPr>
              <w:pStyle w:val="ListParagraph"/>
              <w:spacing w:after="0" w:line="240" w:lineRule="auto"/>
              <w:ind w:left="0"/>
              <w:rPr>
                <w:rFonts w:asciiTheme="minorHAnsi" w:hAnsiTheme="minorHAnsi"/>
                <w:szCs w:val="24"/>
              </w:rPr>
            </w:pPr>
          </w:p>
          <w:p w14:paraId="4527BA3C" w14:textId="33A40A7B"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The Program Review Planning Summary is presented and begins the process of identifying overarching recommendations to be included as institutional objectives.  Recommendations that are not included as institutional objectives are assigned to DPAC Subcommittees, Academic Senate Joint Committees, and/or staff to address.</w:t>
            </w:r>
          </w:p>
        </w:tc>
      </w:tr>
      <w:tr w:rsidR="0003285B" w:rsidRPr="00F34707" w14:paraId="57BC1942" w14:textId="77777777" w:rsidTr="00C677A7">
        <w:tc>
          <w:tcPr>
            <w:tcW w:w="1260" w:type="dxa"/>
            <w:shd w:val="clear" w:color="auto" w:fill="auto"/>
          </w:tcPr>
          <w:p w14:paraId="16CF0066" w14:textId="77777777"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July</w:t>
            </w:r>
          </w:p>
        </w:tc>
        <w:tc>
          <w:tcPr>
            <w:tcW w:w="7740" w:type="dxa"/>
            <w:shd w:val="clear" w:color="auto" w:fill="auto"/>
          </w:tcPr>
          <w:p w14:paraId="1E4EFFE8" w14:textId="54F13E93" w:rsidR="0003285B" w:rsidRPr="00F34707" w:rsidRDefault="0003285B" w:rsidP="00155EA5">
            <w:pPr>
              <w:pStyle w:val="ListParagraph"/>
              <w:spacing w:after="0" w:line="240" w:lineRule="auto"/>
              <w:ind w:left="0"/>
              <w:rPr>
                <w:rFonts w:asciiTheme="minorHAnsi" w:hAnsiTheme="minorHAnsi"/>
                <w:szCs w:val="24"/>
              </w:rPr>
            </w:pPr>
            <w:r w:rsidRPr="00F34707">
              <w:rPr>
                <w:rFonts w:asciiTheme="minorHAnsi" w:hAnsiTheme="minorHAnsi"/>
                <w:szCs w:val="24"/>
              </w:rPr>
              <w:t xml:space="preserve">DPAC discusses possible institutional objectives for the upcoming academic year.  In late July, DPAC also reviews the </w:t>
            </w:r>
            <w:hyperlink r:id="rId71" w:history="1">
              <w:r w:rsidRPr="00B85400">
                <w:rPr>
                  <w:rStyle w:val="Hyperlink"/>
                  <w:rFonts w:asciiTheme="minorHAnsi" w:hAnsiTheme="minorHAnsi"/>
                  <w:szCs w:val="24"/>
                </w:rPr>
                <w:t>Technology Objectives</w:t>
              </w:r>
            </w:hyperlink>
            <w:r w:rsidRPr="00F34707">
              <w:rPr>
                <w:rFonts w:asciiTheme="minorHAnsi" w:hAnsiTheme="minorHAnsi"/>
                <w:szCs w:val="24"/>
              </w:rPr>
              <w:t>.</w:t>
            </w:r>
            <w:r w:rsidRPr="00F34707">
              <w:rPr>
                <w:rStyle w:val="EndnoteReference"/>
                <w:rFonts w:asciiTheme="minorHAnsi" w:hAnsiTheme="minorHAnsi"/>
                <w:szCs w:val="24"/>
              </w:rPr>
              <w:endnoteReference w:id="65"/>
            </w:r>
            <w:r w:rsidRPr="00F34707">
              <w:rPr>
                <w:rFonts w:asciiTheme="minorHAnsi" w:hAnsiTheme="minorHAnsi"/>
                <w:szCs w:val="24"/>
              </w:rPr>
              <w:t xml:space="preserve">  </w:t>
            </w:r>
          </w:p>
        </w:tc>
      </w:tr>
      <w:tr w:rsidR="0003285B" w:rsidRPr="00F34707" w14:paraId="65B10D55" w14:textId="77777777" w:rsidTr="00C677A7">
        <w:tc>
          <w:tcPr>
            <w:tcW w:w="1260" w:type="dxa"/>
            <w:shd w:val="clear" w:color="auto" w:fill="auto"/>
          </w:tcPr>
          <w:p w14:paraId="6621D8BC" w14:textId="77777777"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August</w:t>
            </w:r>
          </w:p>
        </w:tc>
        <w:tc>
          <w:tcPr>
            <w:tcW w:w="7740" w:type="dxa"/>
            <w:shd w:val="clear" w:color="auto" w:fill="auto"/>
          </w:tcPr>
          <w:p w14:paraId="3B848362" w14:textId="681C3B34" w:rsidR="0003285B" w:rsidRPr="00F34707" w:rsidRDefault="0003285B" w:rsidP="00C677A7">
            <w:pPr>
              <w:pStyle w:val="ListParagraph"/>
              <w:spacing w:after="0" w:line="240" w:lineRule="auto"/>
              <w:ind w:left="0"/>
              <w:rPr>
                <w:rFonts w:asciiTheme="minorHAnsi" w:hAnsiTheme="minorHAnsi"/>
                <w:szCs w:val="24"/>
              </w:rPr>
            </w:pPr>
            <w:r w:rsidRPr="00F34707">
              <w:rPr>
                <w:rFonts w:asciiTheme="minorHAnsi" w:hAnsiTheme="minorHAnsi"/>
                <w:szCs w:val="24"/>
              </w:rPr>
              <w:t xml:space="preserve">DPAC reviews the </w:t>
            </w:r>
            <w:hyperlink r:id="rId72" w:history="1">
              <w:r w:rsidRPr="00682A4A">
                <w:rPr>
                  <w:rStyle w:val="Hyperlink"/>
                  <w:rFonts w:asciiTheme="minorHAnsi" w:hAnsiTheme="minorHAnsi"/>
                  <w:szCs w:val="24"/>
                </w:rPr>
                <w:t>Board of Trustees Goals and Priorities</w:t>
              </w:r>
            </w:hyperlink>
            <w:r w:rsidRPr="00F34707">
              <w:rPr>
                <w:rStyle w:val="EndnoteReference"/>
                <w:rFonts w:asciiTheme="minorHAnsi" w:hAnsiTheme="minorHAnsi"/>
                <w:szCs w:val="24"/>
              </w:rPr>
              <w:endnoteReference w:id="66"/>
            </w:r>
            <w:r w:rsidRPr="00F34707">
              <w:rPr>
                <w:rFonts w:asciiTheme="minorHAnsi" w:hAnsiTheme="minorHAnsi"/>
                <w:szCs w:val="24"/>
              </w:rPr>
              <w:t xml:space="preserve"> (developed at their </w:t>
            </w:r>
            <w:r w:rsidRPr="00682A4A">
              <w:rPr>
                <w:rFonts w:asciiTheme="minorHAnsi" w:hAnsiTheme="minorHAnsi"/>
                <w:szCs w:val="24"/>
              </w:rPr>
              <w:t>Summer Study Session</w:t>
            </w:r>
            <w:r w:rsidRPr="00F34707">
              <w:rPr>
                <w:rFonts w:asciiTheme="minorHAnsi" w:hAnsiTheme="minorHAnsi"/>
                <w:szCs w:val="24"/>
              </w:rPr>
              <w:t>) and identifies possible institutional objectives for the upcoming academic year.  In late August, DPAC reviews and discusses a draft of institutional objectives for the next academic year.</w:t>
            </w:r>
          </w:p>
        </w:tc>
      </w:tr>
      <w:tr w:rsidR="0003285B" w:rsidRPr="00F34707" w14:paraId="741A4219" w14:textId="77777777" w:rsidTr="00C677A7">
        <w:tc>
          <w:tcPr>
            <w:tcW w:w="1260" w:type="dxa"/>
            <w:shd w:val="clear" w:color="auto" w:fill="auto"/>
          </w:tcPr>
          <w:p w14:paraId="545961B3" w14:textId="77777777"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September</w:t>
            </w:r>
          </w:p>
        </w:tc>
        <w:tc>
          <w:tcPr>
            <w:tcW w:w="7740" w:type="dxa"/>
            <w:shd w:val="clear" w:color="auto" w:fill="auto"/>
          </w:tcPr>
          <w:p w14:paraId="0405F87B" w14:textId="21BCEEDA"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DPAC discusses and finalizes the institutional objectives for the academic year.</w:t>
            </w:r>
          </w:p>
        </w:tc>
      </w:tr>
      <w:tr w:rsidR="0003285B" w:rsidRPr="00F34707" w14:paraId="51849BE5" w14:textId="77777777" w:rsidTr="00C677A7">
        <w:tc>
          <w:tcPr>
            <w:tcW w:w="1260" w:type="dxa"/>
            <w:shd w:val="clear" w:color="auto" w:fill="auto"/>
          </w:tcPr>
          <w:p w14:paraId="2E66BADC" w14:textId="77777777" w:rsidR="0003285B" w:rsidRPr="00F34707" w:rsidRDefault="0003285B" w:rsidP="00B8556E">
            <w:pPr>
              <w:pStyle w:val="ListParagraph"/>
              <w:spacing w:after="0" w:line="240" w:lineRule="auto"/>
              <w:ind w:left="0"/>
              <w:rPr>
                <w:rFonts w:asciiTheme="minorHAnsi" w:hAnsiTheme="minorHAnsi"/>
                <w:szCs w:val="24"/>
              </w:rPr>
            </w:pPr>
            <w:r w:rsidRPr="00F34707">
              <w:rPr>
                <w:rFonts w:asciiTheme="minorHAnsi" w:hAnsiTheme="minorHAnsi"/>
                <w:szCs w:val="24"/>
              </w:rPr>
              <w:t>October</w:t>
            </w:r>
          </w:p>
        </w:tc>
        <w:tc>
          <w:tcPr>
            <w:tcW w:w="7740" w:type="dxa"/>
            <w:shd w:val="clear" w:color="auto" w:fill="auto"/>
          </w:tcPr>
          <w:p w14:paraId="361B547A" w14:textId="33FB3451" w:rsidR="0003285B" w:rsidRPr="00F34707" w:rsidRDefault="0003285B" w:rsidP="00B911CF">
            <w:pPr>
              <w:pStyle w:val="ListParagraph"/>
              <w:spacing w:after="0" w:line="240" w:lineRule="auto"/>
              <w:ind w:left="0"/>
              <w:rPr>
                <w:rFonts w:asciiTheme="minorHAnsi" w:hAnsiTheme="minorHAnsi"/>
                <w:szCs w:val="24"/>
              </w:rPr>
            </w:pPr>
            <w:r w:rsidRPr="00F34707">
              <w:rPr>
                <w:rFonts w:asciiTheme="minorHAnsi" w:hAnsiTheme="minorHAnsi"/>
                <w:szCs w:val="24"/>
              </w:rPr>
              <w:t xml:space="preserve">The </w:t>
            </w:r>
            <w:hyperlink r:id="rId73" w:history="1">
              <w:r w:rsidRPr="00B85400">
                <w:rPr>
                  <w:rStyle w:val="Hyperlink"/>
                  <w:rFonts w:asciiTheme="minorHAnsi" w:hAnsiTheme="minorHAnsi"/>
                  <w:i/>
                  <w:szCs w:val="24"/>
                </w:rPr>
                <w:t xml:space="preserve">Master Plan for Education </w:t>
              </w:r>
              <w:r w:rsidRPr="00B85400">
                <w:rPr>
                  <w:rStyle w:val="Hyperlink"/>
                  <w:rFonts w:asciiTheme="minorHAnsi" w:hAnsiTheme="minorHAnsi"/>
                  <w:szCs w:val="24"/>
                </w:rPr>
                <w:t>update</w:t>
              </w:r>
            </w:hyperlink>
            <w:r w:rsidR="00B911CF" w:rsidRPr="00F34707">
              <w:rPr>
                <w:rStyle w:val="EndnoteReference"/>
                <w:rFonts w:asciiTheme="minorHAnsi" w:hAnsiTheme="minorHAnsi"/>
                <w:szCs w:val="24"/>
              </w:rPr>
              <w:endnoteReference w:id="67"/>
            </w:r>
            <w:r w:rsidRPr="00F34707">
              <w:rPr>
                <w:rFonts w:asciiTheme="minorHAnsi" w:hAnsiTheme="minorHAnsi"/>
                <w:i/>
                <w:szCs w:val="24"/>
              </w:rPr>
              <w:t xml:space="preserve"> </w:t>
            </w:r>
            <w:r w:rsidRPr="00F34707">
              <w:rPr>
                <w:rFonts w:asciiTheme="minorHAnsi" w:hAnsiTheme="minorHAnsi"/>
                <w:szCs w:val="24"/>
              </w:rPr>
              <w:t>is presented to the Board of Trustees and includes an evaluation of the previous year’s progress on the objectives and the coming year’s objectives along with supporting documents.</w:t>
            </w:r>
          </w:p>
        </w:tc>
      </w:tr>
    </w:tbl>
    <w:p w14:paraId="675D7648" w14:textId="77777777" w:rsidR="0003285B" w:rsidRPr="000E181B" w:rsidRDefault="0003285B" w:rsidP="000E181B">
      <w:pPr>
        <w:pStyle w:val="ListParagraph"/>
        <w:spacing w:after="0" w:line="240" w:lineRule="auto"/>
        <w:rPr>
          <w:sz w:val="24"/>
          <w:szCs w:val="24"/>
        </w:rPr>
      </w:pPr>
    </w:p>
    <w:p w14:paraId="595416C7" w14:textId="77777777" w:rsidR="0003285B" w:rsidRPr="00CD7826" w:rsidRDefault="0003285B" w:rsidP="00EC0FD1">
      <w:pPr>
        <w:pStyle w:val="ListParagraph"/>
        <w:spacing w:after="0" w:line="240" w:lineRule="auto"/>
        <w:ind w:left="0"/>
        <w:rPr>
          <w:sz w:val="24"/>
          <w:szCs w:val="24"/>
        </w:rPr>
      </w:pPr>
    </w:p>
    <w:p w14:paraId="5033E1E8" w14:textId="77777777" w:rsidR="0003285B" w:rsidRDefault="0003285B" w:rsidP="00474D1A">
      <w:pPr>
        <w:keepNext/>
        <w:rPr>
          <w:b/>
        </w:rPr>
      </w:pPr>
      <w:r w:rsidRPr="00F5638F">
        <w:rPr>
          <w:b/>
        </w:rPr>
        <w:lastRenderedPageBreak/>
        <w:t>Mission Guides Institutional Decision-Making and Resource Allocation</w:t>
      </w:r>
    </w:p>
    <w:p w14:paraId="716E61B6" w14:textId="77777777" w:rsidR="0003285B" w:rsidRPr="00F5638F" w:rsidRDefault="0003285B" w:rsidP="00474D1A">
      <w:pPr>
        <w:keepNext/>
        <w:rPr>
          <w:b/>
        </w:rPr>
      </w:pPr>
    </w:p>
    <w:p w14:paraId="5E1561BE" w14:textId="1FAB6140" w:rsidR="0003285B" w:rsidRDefault="0003285B" w:rsidP="006E3467">
      <w:r>
        <w:t>As DPAC has been working to strengthen Mission-driven institutional planning, Fiscal Services has been working simultaneously to strengthen the resource allocation process so that it is not only Mission-driven, but also integrated into the planning process.  Decision-making and resource allocation are inextricably linked and integrated into the College’s institutional planning process.  Evidence of this integration between planning and Mission include the following:</w:t>
      </w:r>
    </w:p>
    <w:p w14:paraId="75538CCA" w14:textId="4B3B7852" w:rsidR="0003285B" w:rsidRDefault="0003285B" w:rsidP="00EB0675">
      <w:pPr>
        <w:numPr>
          <w:ilvl w:val="0"/>
          <w:numId w:val="9"/>
        </w:numPr>
      </w:pPr>
      <w:r>
        <w:t xml:space="preserve">Fiscal Services representation on the DPAC Budget Planning Subcommittee, which makes recommendations to DPAC regarding budgetary issues. Fiscal Services ensures that current, accurate data is available for the Subcommittee’s use. </w:t>
      </w:r>
    </w:p>
    <w:p w14:paraId="214D0843" w14:textId="4383BE67" w:rsidR="0003285B" w:rsidRDefault="0003285B" w:rsidP="00EB0675">
      <w:pPr>
        <w:numPr>
          <w:ilvl w:val="0"/>
          <w:numId w:val="9"/>
        </w:numPr>
      </w:pPr>
      <w:r>
        <w:t xml:space="preserve">Budgetary consideration in the </w:t>
      </w:r>
      <w:r w:rsidRPr="00B91A35">
        <w:rPr>
          <w:i/>
        </w:rPr>
        <w:t>Master Plan for Education</w:t>
      </w:r>
      <w:r>
        <w:t xml:space="preserve"> institutional objectives template.  Institutional objectives include estimates of the cost of the proposed activity, and identify a funding source to support these costs.</w:t>
      </w:r>
    </w:p>
    <w:p w14:paraId="2342B4F4" w14:textId="36596D6A" w:rsidR="0003285B" w:rsidRDefault="0003285B" w:rsidP="00EB0675">
      <w:pPr>
        <w:numPr>
          <w:ilvl w:val="0"/>
          <w:numId w:val="9"/>
        </w:numPr>
      </w:pPr>
      <w:r>
        <w:t>Budget modifications via the Personnel and Budget Augmentation Report (</w:t>
      </w:r>
      <w:hyperlink r:id="rId74" w:history="1">
        <w:r w:rsidRPr="00B85400">
          <w:rPr>
            <w:rStyle w:val="Hyperlink"/>
          </w:rPr>
          <w:t>PBAR</w:t>
        </w:r>
      </w:hyperlink>
      <w:r>
        <w:t>) form,</w:t>
      </w:r>
      <w:r>
        <w:rPr>
          <w:rStyle w:val="EndnoteReference"/>
        </w:rPr>
        <w:endnoteReference w:id="68"/>
      </w:r>
      <w:r>
        <w:t xml:space="preserve"> which requires program managers and department chairs to link their budget augmentation request to the Mission and one or more Institutional Learning Outcomes, Supporting Goals, strategic initiatives</w:t>
      </w:r>
      <w:r w:rsidRPr="003A3F4F">
        <w:t xml:space="preserve">, and/or </w:t>
      </w:r>
      <w:r w:rsidR="003A3F4F" w:rsidRPr="003A3F4F">
        <w:t>other institutional objectives</w:t>
      </w:r>
      <w:r w:rsidRPr="003A3F4F">
        <w:t>.</w:t>
      </w:r>
    </w:p>
    <w:p w14:paraId="5124BA79" w14:textId="77777777" w:rsidR="0003285B" w:rsidRDefault="0003285B" w:rsidP="001D0003"/>
    <w:p w14:paraId="091298E4" w14:textId="3E7539BE" w:rsidR="0003285B" w:rsidRDefault="0003285B" w:rsidP="001D0003">
      <w:r>
        <w:t xml:space="preserve">A guiding principle for all resource development activities is the Mission of the College.  As such, all new externally-funded programs, such as those secured through grants, must align with one or more components of the Mission, its Institutional Learning Outcomes, Supporting Goals, and/or strategic initiatives.  A </w:t>
      </w:r>
      <w:hyperlink r:id="rId75" w:history="1">
        <w:r w:rsidRPr="005E0D97">
          <w:rPr>
            <w:rStyle w:val="Hyperlink"/>
          </w:rPr>
          <w:t>review</w:t>
        </w:r>
      </w:hyperlink>
      <w:r>
        <w:t xml:space="preserve"> of the grants awarded in the past five years indicates that 100% of all grant-funded programs are in direct support of the Mission.</w:t>
      </w:r>
      <w:r>
        <w:rPr>
          <w:rStyle w:val="EndnoteReference"/>
        </w:rPr>
        <w:endnoteReference w:id="69"/>
      </w:r>
      <w:r>
        <w:t xml:space="preserve">  </w:t>
      </w:r>
    </w:p>
    <w:p w14:paraId="298009A5" w14:textId="77777777" w:rsidR="0003285B" w:rsidRDefault="0003285B" w:rsidP="001D0003"/>
    <w:p w14:paraId="1403A8DC" w14:textId="0D381C22" w:rsidR="0003285B" w:rsidRDefault="0003285B" w:rsidP="001D0003">
      <w:r>
        <w:t>Another example of how the Mission guides decision-making and resource allocation is the College’s investment in online education.  Although the Mission statement currently does not specify the College’s commitment to distance education, it does state that the College will provide “</w:t>
      </w:r>
      <w:r w:rsidRPr="00A561F9">
        <w:rPr>
          <w:i/>
        </w:rPr>
        <w:t xml:space="preserve">open and affordable </w:t>
      </w:r>
      <w:r>
        <w:rPr>
          <w:i/>
        </w:rPr>
        <w:t>access to high quality undergraduate</w:t>
      </w:r>
      <w:r w:rsidRPr="00A561F9">
        <w:rPr>
          <w:i/>
        </w:rPr>
        <w:t xml:space="preserve"> degree</w:t>
      </w:r>
      <w:r>
        <w:rPr>
          <w:i/>
        </w:rPr>
        <w:t>s</w:t>
      </w:r>
      <w:r w:rsidRPr="00A561F9">
        <w:rPr>
          <w:i/>
        </w:rPr>
        <w:t xml:space="preserve"> and certificate</w:t>
      </w:r>
      <w:r>
        <w:rPr>
          <w:i/>
        </w:rPr>
        <w:t xml:space="preserve">s.”  </w:t>
      </w:r>
      <w:r>
        <w:t xml:space="preserve">One of the strategies that the College uses to accomplish this outcome is Distance Education.  The College has invested heavily in this program, including staffing an office dedicated to its oversight, maintaining an instructional platform that manages the delivery of classes, facilitating an Academic Senate Joint Committee that provides guidance and directs planning, and offering supportive services across campus that allow online students to access the same or similar resources as students who come to campus.  </w:t>
      </w:r>
    </w:p>
    <w:p w14:paraId="4947BBD6" w14:textId="77777777" w:rsidR="0003285B" w:rsidRDefault="0003285B" w:rsidP="001D0003"/>
    <w:p w14:paraId="5FFDCBAB" w14:textId="77777777" w:rsidR="0003285B" w:rsidRDefault="0003285B" w:rsidP="00474D1A">
      <w:pPr>
        <w:keepNext/>
        <w:rPr>
          <w:b/>
        </w:rPr>
      </w:pPr>
      <w:smartTag w:uri="urn:schemas-microsoft-com:office:smarttags" w:element="place">
        <w:smartTag w:uri="urn:schemas-microsoft-com:office:smarttags" w:element="City">
          <w:r>
            <w:rPr>
              <w:b/>
            </w:rPr>
            <w:t>Mission</w:t>
          </w:r>
        </w:smartTag>
      </w:smartTag>
      <w:r>
        <w:rPr>
          <w:b/>
        </w:rPr>
        <w:t xml:space="preserve"> Informs Institutional Goals for Student Learning and Achievement</w:t>
      </w:r>
    </w:p>
    <w:p w14:paraId="267B518A" w14:textId="77777777" w:rsidR="0003285B" w:rsidRPr="008234BE" w:rsidRDefault="0003285B" w:rsidP="00474D1A">
      <w:pPr>
        <w:keepNext/>
        <w:rPr>
          <w:b/>
        </w:rPr>
      </w:pPr>
    </w:p>
    <w:p w14:paraId="63F3DC9E" w14:textId="031DF349" w:rsidR="0003285B" w:rsidRDefault="0003285B" w:rsidP="006E3467">
      <w:r>
        <w:t xml:space="preserve">As with planning, decision-making, and resource allocation, the </w:t>
      </w:r>
      <w:r w:rsidR="00B46AEB">
        <w:t xml:space="preserve">College’s </w:t>
      </w:r>
      <w:r>
        <w:t xml:space="preserve">Mission and its supporting Outcomes, Goals, and priorities inform and guide institutional goals for student </w:t>
      </w:r>
      <w:r>
        <w:lastRenderedPageBreak/>
        <w:t xml:space="preserve">learning and achievement.  As noted previously, the College’s five Institutional Learning Outcomes (ILOs) and five Supporting Goals are used to measure the effectiveness of the College in achieving its Mission.  Coupled with strategic initiatives, Outcomes and Goals also serve as the basis for the </w:t>
      </w:r>
      <w:r w:rsidRPr="00B91A35">
        <w:rPr>
          <w:i/>
        </w:rPr>
        <w:t>Master Plan for Education</w:t>
      </w:r>
      <w:r>
        <w:t xml:space="preserve"> and its related planning documents, such as the online program review forms and the Personnel and Budget Augmentation Request form.  With this information, the College sets Institutional Goals and Objectives that directly relate to the Mission.</w:t>
      </w:r>
    </w:p>
    <w:p w14:paraId="1D63902A" w14:textId="77777777" w:rsidR="0003285B" w:rsidRDefault="0003285B" w:rsidP="001D0003"/>
    <w:p w14:paraId="5FAA8018" w14:textId="77777777" w:rsidR="0003285B" w:rsidRPr="00F57118" w:rsidRDefault="0003285B" w:rsidP="00474D1A">
      <w:pPr>
        <w:keepNext/>
        <w:rPr>
          <w:i/>
        </w:rPr>
      </w:pPr>
      <w:r w:rsidRPr="00F57118">
        <w:rPr>
          <w:b/>
          <w:i/>
          <w:u w:val="single"/>
        </w:rPr>
        <w:t>Analysis</w:t>
      </w:r>
    </w:p>
    <w:p w14:paraId="35DF6ACE" w14:textId="77777777" w:rsidR="0003285B" w:rsidRDefault="0003285B" w:rsidP="00474D1A">
      <w:pPr>
        <w:keepNext/>
      </w:pPr>
    </w:p>
    <w:p w14:paraId="4C18FE70" w14:textId="3679C956" w:rsidR="0003285B" w:rsidRDefault="0003285B" w:rsidP="006E3467">
      <w:r>
        <w:t xml:space="preserve">The Mission of Santa Monica College serves as the foundation for all institutional planning, decision-making, and resource allocation, and it informs the development of Institutional Goals and Objectives, including supporting program goals and objectives.  The College has spent much of the last accreditation cycle refining its planning process and honing the tools and resources used to support this process, which has resulted in greater alignment between the Mission and program planning and decision-making, and it also ensures that the Mission is considered in all resource allocation decisions.  </w:t>
      </w:r>
    </w:p>
    <w:p w14:paraId="667CEBD0" w14:textId="77777777" w:rsidR="0003285B" w:rsidRDefault="0003285B" w:rsidP="00FD564F"/>
    <w:p w14:paraId="6D917EB4" w14:textId="792DC6CC" w:rsidR="0003285B" w:rsidRDefault="0003285B" w:rsidP="00CE3859">
      <w:r w:rsidRPr="00CE3859">
        <w:t>The most effective demonstration of the integration of the Mission</w:t>
      </w:r>
      <w:r>
        <w:t xml:space="preserve"> as the foundation for institutional decision-making</w:t>
      </w:r>
      <w:r w:rsidRPr="00CE3859">
        <w:t xml:space="preserve"> is the annual </w:t>
      </w:r>
      <w:r w:rsidRPr="00CE3859">
        <w:rPr>
          <w:i/>
        </w:rPr>
        <w:t>Master Plan for Education</w:t>
      </w:r>
      <w:r w:rsidRPr="00CE3859">
        <w:t xml:space="preserve"> process.  </w:t>
      </w:r>
      <w:r>
        <w:t xml:space="preserve">To ensure that the Mission remains at the forefront of all decision-making, the College has revised the planning process timeline so that program review and institutional effectiveness processes are complete and can be used to inform the development of the </w:t>
      </w:r>
      <w:r w:rsidRPr="000E181B">
        <w:rPr>
          <w:i/>
        </w:rPr>
        <w:t>Master Plan for Education</w:t>
      </w:r>
      <w:r>
        <w:t>.</w:t>
      </w:r>
    </w:p>
    <w:p w14:paraId="2BC770CC" w14:textId="77777777" w:rsidR="0003285B" w:rsidRDefault="0003285B" w:rsidP="00CE3859"/>
    <w:p w14:paraId="640E1881" w14:textId="7959F1EA" w:rsidR="0003285B" w:rsidRDefault="0003285B" w:rsidP="00CE3859">
      <w:r>
        <w:t xml:space="preserve">Like all instructional programs at the College, the Bachelor of Science degree program in Interaction Design is aligned with the mission of the college. In particular, the B.S. degree program supports providing </w:t>
      </w:r>
      <w:r w:rsidRPr="00AE7587">
        <w:rPr>
          <w:i/>
        </w:rPr>
        <w:t>“…access to high quality undergraduate degrees…</w:t>
      </w:r>
      <w:r>
        <w:t xml:space="preserve">” and facilitating </w:t>
      </w:r>
      <w:r w:rsidRPr="00AE7587">
        <w:rPr>
          <w:i/>
        </w:rPr>
        <w:t>“… access to baccalaureate and higher degrees</w:t>
      </w:r>
      <w:r>
        <w:t>.” The degree program also helps to “</w:t>
      </w:r>
      <w:r w:rsidRPr="00AE7587">
        <w:rPr>
          <w:i/>
        </w:rPr>
        <w:t>prepare students for careers</w:t>
      </w:r>
      <w:r>
        <w:t>” in a high demand, high growth, local industry.</w:t>
      </w:r>
    </w:p>
    <w:p w14:paraId="01B6B4BC" w14:textId="77777777" w:rsidR="0003285B" w:rsidRPr="000E181B" w:rsidRDefault="0003285B" w:rsidP="000E181B">
      <w:pPr>
        <w:rPr>
          <w:i/>
        </w:rPr>
      </w:pPr>
      <w:r>
        <w:t xml:space="preserve"> </w:t>
      </w:r>
    </w:p>
    <w:p w14:paraId="4355BA76" w14:textId="1A45F899" w:rsidR="0003285B" w:rsidRDefault="0003285B" w:rsidP="00AD7018">
      <w:pPr>
        <w:shd w:val="clear" w:color="auto" w:fill="FFFFFF"/>
      </w:pPr>
      <w:r>
        <w:t xml:space="preserve">The College will work to further integrate student equity into both its Mission and its planning and decision-making processes.  </w:t>
      </w:r>
      <w:r w:rsidR="00B708A6">
        <w:t xml:space="preserve">To </w:t>
      </w:r>
      <w:r>
        <w:t xml:space="preserve">engage the broader college community in meaningful dialogue to improve the success rates of underperforming students, including underrepresented minority students, the Student Equity Plan Task Force was formed in 2014.  The Task Force, identified a two-pronged approach to strengthen efforts and ensure validation of outcomes: 1) research and inquiry and 2) intervention and student support.  These two pathways will culminate in an evaluation process to determine the most successful practices and how they can be brought to scale to have a broad and significant impact on closing the achievement gap.  </w:t>
      </w:r>
      <w:r w:rsidR="00B708A6">
        <w:t xml:space="preserve">As </w:t>
      </w:r>
      <w:r>
        <w:t xml:space="preserve">programs increase the capacity and scope of their most effective practices, </w:t>
      </w:r>
      <w:r w:rsidR="00B708A6">
        <w:t xml:space="preserve">it is expected that </w:t>
      </w:r>
      <w:r>
        <w:t>there will be corresponding impact on planning</w:t>
      </w:r>
      <w:r w:rsidR="00B708A6">
        <w:t xml:space="preserve"> and </w:t>
      </w:r>
      <w:r>
        <w:t>decision-making</w:t>
      </w:r>
      <w:r w:rsidR="00B708A6">
        <w:t xml:space="preserve"> processes.</w:t>
      </w:r>
    </w:p>
    <w:p w14:paraId="4ADF1BC1" w14:textId="77777777" w:rsidR="0003285B" w:rsidRDefault="0003285B" w:rsidP="001D0003"/>
    <w:p w14:paraId="6C38A19D" w14:textId="77777777" w:rsidR="0003285B" w:rsidRPr="00F57118" w:rsidRDefault="0003285B" w:rsidP="00FD564F">
      <w:pPr>
        <w:keepNext/>
        <w:rPr>
          <w:b/>
          <w:i/>
          <w:u w:val="single"/>
        </w:rPr>
      </w:pPr>
      <w:r w:rsidRPr="00F57118">
        <w:rPr>
          <w:b/>
          <w:i/>
          <w:u w:val="single"/>
        </w:rPr>
        <w:t>Plan</w:t>
      </w:r>
    </w:p>
    <w:p w14:paraId="539CF075" w14:textId="77777777" w:rsidR="0003285B" w:rsidRDefault="0003285B" w:rsidP="00FD564F">
      <w:pPr>
        <w:keepNext/>
        <w:rPr>
          <w:b/>
          <w:u w:val="single"/>
        </w:rPr>
      </w:pPr>
    </w:p>
    <w:p w14:paraId="7EC864E5" w14:textId="77777777" w:rsidR="0003285B" w:rsidRDefault="0003285B" w:rsidP="00B7044E">
      <w:pPr>
        <w:rPr>
          <w:b/>
          <w:i/>
        </w:rPr>
      </w:pPr>
      <w:r>
        <w:t>Based on an analysis of the evidence, Santa Monica College is meeting this standard and will continue to monitor its progress.</w:t>
      </w:r>
    </w:p>
    <w:p w14:paraId="7ABB2D2D" w14:textId="77777777" w:rsidR="0003285B" w:rsidRPr="00956A97" w:rsidRDefault="0003285B" w:rsidP="001D0003"/>
    <w:p w14:paraId="13EFFCE7" w14:textId="77777777" w:rsidR="0003285B" w:rsidRPr="00956A97" w:rsidRDefault="0003285B" w:rsidP="001D0003"/>
    <w:p w14:paraId="0568AD28" w14:textId="251064AD" w:rsidR="0003285B" w:rsidRDefault="0003285B" w:rsidP="006E3467">
      <w:pPr>
        <w:keepNext/>
        <w:keepLines/>
        <w:rPr>
          <w:b/>
        </w:rPr>
      </w:pPr>
      <w:r>
        <w:rPr>
          <w:b/>
        </w:rPr>
        <w:t>IA.4</w:t>
      </w:r>
      <w:r>
        <w:rPr>
          <w:b/>
        </w:rPr>
        <w:tab/>
      </w:r>
      <w:r w:rsidRPr="00CD6BF9">
        <w:rPr>
          <w:b/>
        </w:rPr>
        <w:t>The institution articulates its mission in a widely published statement approved by the governing board.  The mission statement is periodically reviewed and updated as necessary.</w:t>
      </w:r>
      <w:r>
        <w:rPr>
          <w:b/>
        </w:rPr>
        <w:t xml:space="preserve">  (ER 6)</w:t>
      </w:r>
    </w:p>
    <w:p w14:paraId="172ED131" w14:textId="77777777" w:rsidR="0003285B" w:rsidRPr="00E110AE" w:rsidRDefault="0003285B" w:rsidP="006E3467">
      <w:pPr>
        <w:keepNext/>
        <w:rPr>
          <w:b/>
        </w:rPr>
      </w:pPr>
    </w:p>
    <w:p w14:paraId="1BC7864A" w14:textId="5EF6CB1D" w:rsidR="0003285B" w:rsidRPr="00F57118" w:rsidRDefault="0003285B" w:rsidP="006E3467">
      <w:pPr>
        <w:keepNext/>
        <w:rPr>
          <w:b/>
          <w:i/>
          <w:u w:val="single"/>
        </w:rPr>
      </w:pPr>
      <w:r w:rsidRPr="00F57118">
        <w:rPr>
          <w:b/>
          <w:i/>
          <w:u w:val="single"/>
        </w:rPr>
        <w:t>Evidence of Meeting the Standard</w:t>
      </w:r>
    </w:p>
    <w:p w14:paraId="5077858C" w14:textId="77777777" w:rsidR="0003285B" w:rsidRPr="00E110AE" w:rsidRDefault="0003285B" w:rsidP="006E3467">
      <w:pPr>
        <w:keepNext/>
        <w:rPr>
          <w:b/>
          <w:u w:val="single"/>
        </w:rPr>
      </w:pPr>
    </w:p>
    <w:p w14:paraId="208AC5DE" w14:textId="332DBD06" w:rsidR="0003285B" w:rsidRDefault="0003285B" w:rsidP="006E3467">
      <w:r>
        <w:t xml:space="preserve">The </w:t>
      </w:r>
      <w:r w:rsidRPr="00EA173A">
        <w:t>College Vision, Mission, Supporting Goals, and Institutional Learning Outcomes are widely published</w:t>
      </w:r>
      <w:r>
        <w:t xml:space="preserve"> in numerous places, including the following:</w:t>
      </w:r>
    </w:p>
    <w:p w14:paraId="06D59916" w14:textId="26342B5C" w:rsidR="0003285B" w:rsidRDefault="0040306F" w:rsidP="00EB0675">
      <w:pPr>
        <w:numPr>
          <w:ilvl w:val="0"/>
          <w:numId w:val="13"/>
        </w:numPr>
      </w:pPr>
      <w:hyperlink r:id="rId76" w:history="1">
        <w:r w:rsidR="0003285B" w:rsidRPr="0018033F">
          <w:rPr>
            <w:rStyle w:val="Hyperlink"/>
          </w:rPr>
          <w:t>Santa Monica College website</w:t>
        </w:r>
      </w:hyperlink>
      <w:r w:rsidR="0003285B">
        <w:rPr>
          <w:rStyle w:val="EndnoteReference"/>
        </w:rPr>
        <w:endnoteReference w:id="70"/>
      </w:r>
      <w:r w:rsidR="0003285B">
        <w:t xml:space="preserve"> (multiple locations, incl</w:t>
      </w:r>
      <w:r w:rsidR="0003285B" w:rsidRPr="0002472A">
        <w:t xml:space="preserve">uding the </w:t>
      </w:r>
      <w:hyperlink r:id="rId77" w:history="1">
        <w:r w:rsidR="0003285B" w:rsidRPr="0002472A">
          <w:rPr>
            <w:rStyle w:val="Hyperlink"/>
          </w:rPr>
          <w:t>District Planning and Advisory Council webpage</w:t>
        </w:r>
      </w:hyperlink>
      <w:r w:rsidR="0003285B" w:rsidRPr="0002472A">
        <w:t>,</w:t>
      </w:r>
      <w:r w:rsidR="0003285B" w:rsidRPr="0002472A">
        <w:rPr>
          <w:rStyle w:val="EndnoteReference"/>
        </w:rPr>
        <w:endnoteReference w:id="71"/>
      </w:r>
      <w:r w:rsidR="0003285B" w:rsidRPr="0002472A">
        <w:t xml:space="preserve"> </w:t>
      </w:r>
      <w:hyperlink r:id="rId78" w:history="1">
        <w:r w:rsidR="0003285B" w:rsidRPr="0002472A">
          <w:rPr>
            <w:rStyle w:val="Hyperlink"/>
          </w:rPr>
          <w:t>Board of Trustees webpage</w:t>
        </w:r>
      </w:hyperlink>
      <w:r w:rsidR="0003285B" w:rsidRPr="0002472A">
        <w:t>,</w:t>
      </w:r>
      <w:r w:rsidR="0003285B" w:rsidRPr="0002472A">
        <w:rPr>
          <w:rStyle w:val="EndnoteReference"/>
        </w:rPr>
        <w:endnoteReference w:id="72"/>
      </w:r>
      <w:r w:rsidR="0003285B">
        <w:t xml:space="preserve"> and the </w:t>
      </w:r>
      <w:hyperlink r:id="rId79" w:history="1">
        <w:r w:rsidR="0003285B" w:rsidRPr="00EC4C57">
          <w:rPr>
            <w:rStyle w:val="Hyperlink"/>
          </w:rPr>
          <w:t>Board Policy Manual</w:t>
        </w:r>
      </w:hyperlink>
      <w:r w:rsidR="0003285B">
        <w:t>)</w:t>
      </w:r>
      <w:r w:rsidR="0002472A" w:rsidRPr="0002472A">
        <w:rPr>
          <w:rStyle w:val="EndnoteReference"/>
        </w:rPr>
        <w:t xml:space="preserve"> </w:t>
      </w:r>
      <w:r w:rsidR="0002472A">
        <w:rPr>
          <w:rStyle w:val="EndnoteReference"/>
        </w:rPr>
        <w:endnoteReference w:id="73"/>
      </w:r>
    </w:p>
    <w:p w14:paraId="4B5EA6C0" w14:textId="7F5A70A2" w:rsidR="0003285B" w:rsidRDefault="0040306F" w:rsidP="00EB0675">
      <w:pPr>
        <w:numPr>
          <w:ilvl w:val="0"/>
          <w:numId w:val="13"/>
        </w:numPr>
      </w:pPr>
      <w:hyperlink r:id="rId80" w:history="1">
        <w:r w:rsidR="0003285B" w:rsidRPr="00EC4C57">
          <w:rPr>
            <w:rStyle w:val="Hyperlink"/>
          </w:rPr>
          <w:t>College Catalog</w:t>
        </w:r>
      </w:hyperlink>
      <w:r w:rsidR="0003285B">
        <w:rPr>
          <w:rStyle w:val="EndnoteReference"/>
        </w:rPr>
        <w:endnoteReference w:id="74"/>
      </w:r>
      <w:r w:rsidR="0003285B">
        <w:t xml:space="preserve">  (both the print and online versions)</w:t>
      </w:r>
    </w:p>
    <w:p w14:paraId="0F58A46B" w14:textId="517415AA" w:rsidR="0003285B" w:rsidRDefault="0003285B" w:rsidP="00EB0675">
      <w:pPr>
        <w:numPr>
          <w:ilvl w:val="0"/>
          <w:numId w:val="13"/>
        </w:numPr>
      </w:pPr>
      <w:r>
        <w:t xml:space="preserve">Other publications that are </w:t>
      </w:r>
      <w:r w:rsidRPr="00E0692D">
        <w:t xml:space="preserve">distributed to the public and for which there is sufficient space, such as the College’s newsletter, </w:t>
      </w:r>
      <w:hyperlink r:id="rId81" w:history="1">
        <w:r w:rsidRPr="00E0692D">
          <w:rPr>
            <w:rStyle w:val="Hyperlink"/>
            <w:i/>
          </w:rPr>
          <w:t>SMC in Focus</w:t>
        </w:r>
      </w:hyperlink>
      <w:r w:rsidRPr="00E0692D">
        <w:rPr>
          <w:rStyle w:val="EndnoteReference"/>
          <w:i/>
        </w:rPr>
        <w:endnoteReference w:id="75"/>
      </w:r>
    </w:p>
    <w:p w14:paraId="56A8536B" w14:textId="77777777" w:rsidR="0003285B" w:rsidRPr="00F67F78" w:rsidRDefault="0003285B" w:rsidP="001D0003">
      <w:pPr>
        <w:rPr>
          <w:rStyle w:val="Hyperlink"/>
          <w:color w:val="auto"/>
        </w:rPr>
      </w:pPr>
    </w:p>
    <w:p w14:paraId="129512B4" w14:textId="58F63F46" w:rsidR="0003285B" w:rsidRDefault="0003285B" w:rsidP="001D0003">
      <w:r>
        <w:t xml:space="preserve">The </w:t>
      </w:r>
      <w:smartTag w:uri="urn:schemas-microsoft-com:office:smarttags" w:element="place">
        <w:smartTag w:uri="urn:schemas-microsoft-com:office:smarttags" w:element="City">
          <w:r>
            <w:t>Mission</w:t>
          </w:r>
        </w:smartTag>
      </w:smartTag>
      <w:r>
        <w:t xml:space="preserve"> is formally reviewed every five years as part of the College’s Strategic Planning process.  This process includes a review of the College’s Vision, Mission, and Goals statements; evaluation of the institutional planning process, including the </w:t>
      </w:r>
      <w:r w:rsidRPr="00B91A35">
        <w:rPr>
          <w:i/>
        </w:rPr>
        <w:t>Master Plan for Education</w:t>
      </w:r>
      <w:r>
        <w:t xml:space="preserve">; and identification of long-term strategic initiatives, using local, regional, state, and national data to predict trends and identify areas of need and opportunity.  These become the guiding principles and priorities that inform the development of institutional objectives, which are then included in the annual update to the </w:t>
      </w:r>
      <w:r w:rsidRPr="00013003">
        <w:rPr>
          <w:i/>
        </w:rPr>
        <w:t>Master Plan for Education</w:t>
      </w:r>
      <w:r>
        <w:t xml:space="preserve">. </w:t>
      </w:r>
    </w:p>
    <w:p w14:paraId="071FE5E5" w14:textId="77777777" w:rsidR="0003285B" w:rsidRDefault="0003285B" w:rsidP="001D0003"/>
    <w:p w14:paraId="40827BC7" w14:textId="295D3D88" w:rsidR="0003285B" w:rsidRPr="00806B4A" w:rsidRDefault="0003285B" w:rsidP="001D0003">
      <w:pPr>
        <w:rPr>
          <w:color w:val="auto"/>
        </w:rPr>
      </w:pPr>
      <w:r w:rsidRPr="00C93809">
        <w:rPr>
          <w:rStyle w:val="Hyperlink"/>
          <w:color w:val="auto"/>
          <w:u w:val="none"/>
        </w:rPr>
        <w:t>Revisions to the Mission are proposed by th</w:t>
      </w:r>
      <w:r>
        <w:rPr>
          <w:rStyle w:val="Hyperlink"/>
          <w:color w:val="auto"/>
          <w:u w:val="none"/>
        </w:rPr>
        <w:t>e Strategic Planning Task Force</w:t>
      </w:r>
      <w:r w:rsidRPr="00C93809">
        <w:rPr>
          <w:rStyle w:val="Hyperlink"/>
          <w:color w:val="auto"/>
          <w:u w:val="none"/>
        </w:rPr>
        <w:t xml:space="preserve"> with input from groups directly involved in the development of new programs and services.  Proposed revisions are vetted by the various constituency groups, including students, prior to presentation to</w:t>
      </w:r>
      <w:r>
        <w:rPr>
          <w:rStyle w:val="Hyperlink"/>
          <w:color w:val="auto"/>
          <w:u w:val="none"/>
        </w:rPr>
        <w:t xml:space="preserve"> DPAC which</w:t>
      </w:r>
      <w:r w:rsidRPr="00C93809">
        <w:rPr>
          <w:rStyle w:val="Hyperlink"/>
          <w:color w:val="auto"/>
          <w:u w:val="none"/>
        </w:rPr>
        <w:t xml:space="preserve"> reviews, revises, and/or approves the revisions and fo</w:t>
      </w:r>
      <w:r>
        <w:rPr>
          <w:rStyle w:val="Hyperlink"/>
          <w:color w:val="auto"/>
          <w:u w:val="none"/>
        </w:rPr>
        <w:t xml:space="preserve">rwards them </w:t>
      </w:r>
      <w:r w:rsidRPr="00C93809">
        <w:rPr>
          <w:rStyle w:val="Hyperlink"/>
          <w:color w:val="auto"/>
          <w:u w:val="none"/>
        </w:rPr>
        <w:t>to the Board of Trustees for final approval.  Once approved, the Vision, Mission, Outcomes, and G</w:t>
      </w:r>
      <w:r>
        <w:rPr>
          <w:rStyle w:val="Hyperlink"/>
          <w:color w:val="auto"/>
          <w:u w:val="none"/>
        </w:rPr>
        <w:t>oals are updated in all forums.</w:t>
      </w:r>
    </w:p>
    <w:p w14:paraId="7BFB4D44" w14:textId="77777777" w:rsidR="0003285B" w:rsidRDefault="0003285B" w:rsidP="001D0003"/>
    <w:p w14:paraId="00114A83" w14:textId="7C2F75EE" w:rsidR="008A1315" w:rsidRDefault="0003285B" w:rsidP="001D0003">
      <w:pPr>
        <w:rPr>
          <w:rStyle w:val="Hyperlink"/>
          <w:color w:val="auto"/>
          <w:u w:val="none"/>
        </w:rPr>
      </w:pPr>
      <w:r>
        <w:t>Outside of this formal review, changes are made as necessary as the educational purpose and/or programming of the institution changes, such as the recent decision to pursue baccalaureate programming at the community college level.  In Spring 2015, u</w:t>
      </w:r>
      <w:r>
        <w:rPr>
          <w:rStyle w:val="Hyperlink"/>
          <w:color w:val="auto"/>
          <w:u w:val="none"/>
        </w:rPr>
        <w:t xml:space="preserve">pon notification by the Chancellor’s Office that Santa Monica College was selected as one of the 15 colleges to pilot a baccalaureate degree, the Mission underwent another minor revision to include the offering of an undergraduate degree as part of the College’s Mission.  This </w:t>
      </w:r>
      <w:hyperlink r:id="rId82" w:history="1">
        <w:r w:rsidRPr="00EC4C57">
          <w:rPr>
            <w:rStyle w:val="Hyperlink"/>
          </w:rPr>
          <w:t>revision</w:t>
        </w:r>
      </w:hyperlink>
      <w:r>
        <w:rPr>
          <w:rStyle w:val="Hyperlink"/>
          <w:color w:val="auto"/>
          <w:u w:val="none"/>
        </w:rPr>
        <w:t>, approved April 7, 2015 by the Board of Trustees,</w:t>
      </w:r>
      <w:r>
        <w:rPr>
          <w:rStyle w:val="EndnoteReference"/>
          <w:color w:val="auto"/>
        </w:rPr>
        <w:endnoteReference w:id="76"/>
      </w:r>
      <w:r>
        <w:rPr>
          <w:rStyle w:val="Hyperlink"/>
          <w:color w:val="auto"/>
          <w:u w:val="none"/>
        </w:rPr>
        <w:t xml:space="preserve"> </w:t>
      </w:r>
      <w:r w:rsidR="00E24F81">
        <w:rPr>
          <w:rStyle w:val="Hyperlink"/>
          <w:color w:val="auto"/>
          <w:u w:val="none"/>
        </w:rPr>
        <w:t>articulates the most recent version of the Mission</w:t>
      </w:r>
      <w:r w:rsidR="008A1315">
        <w:rPr>
          <w:rStyle w:val="Hyperlink"/>
          <w:color w:val="auto"/>
          <w:u w:val="none"/>
        </w:rPr>
        <w:t>:</w:t>
      </w:r>
    </w:p>
    <w:p w14:paraId="32644108" w14:textId="77777777" w:rsidR="008A1315" w:rsidRDefault="008A1315" w:rsidP="001D0003">
      <w:pPr>
        <w:rPr>
          <w:rStyle w:val="Hyperlink"/>
          <w:color w:val="auto"/>
          <w:u w:val="none"/>
        </w:rPr>
      </w:pPr>
    </w:p>
    <w:p w14:paraId="4B1FA7A6" w14:textId="77777777" w:rsidR="008A1315" w:rsidRPr="008A1315" w:rsidRDefault="008A1315" w:rsidP="00806B4A">
      <w:pPr>
        <w:rPr>
          <w:rStyle w:val="Hyperlink"/>
          <w:i/>
          <w:color w:val="auto"/>
          <w:u w:val="none"/>
        </w:rPr>
      </w:pPr>
      <w:r w:rsidRPr="008A1315">
        <w:rPr>
          <w:rStyle w:val="Hyperlink"/>
          <w:i/>
          <w:color w:val="auto"/>
          <w:u w:val="none"/>
        </w:rPr>
        <w:t>“</w:t>
      </w:r>
      <w:smartTag w:uri="urn:schemas-microsoft-com:office:smarttags" w:element="place">
        <w:smartTag w:uri="urn:schemas-microsoft-com:office:smarttags" w:element="PlaceName">
          <w:r w:rsidRPr="008A1315">
            <w:rPr>
              <w:rStyle w:val="Hyperlink"/>
              <w:i/>
              <w:color w:val="auto"/>
              <w:u w:val="none"/>
            </w:rPr>
            <w:t>Santa Monica</w:t>
          </w:r>
        </w:smartTag>
        <w:r w:rsidRPr="008A1315">
          <w:rPr>
            <w:rStyle w:val="Hyperlink"/>
            <w:i/>
            <w:color w:val="auto"/>
            <w:u w:val="none"/>
          </w:rPr>
          <w:t xml:space="preserve"> </w:t>
        </w:r>
        <w:smartTag w:uri="urn:schemas-microsoft-com:office:smarttags" w:element="PlaceType">
          <w:r w:rsidRPr="008A1315">
            <w:rPr>
              <w:rStyle w:val="Hyperlink"/>
              <w:i/>
              <w:color w:val="auto"/>
              <w:u w:val="none"/>
            </w:rPr>
            <w:t>College</w:t>
          </w:r>
        </w:smartTag>
      </w:smartTag>
      <w:r w:rsidRPr="008A1315">
        <w:rPr>
          <w:rStyle w:val="Hyperlink"/>
          <w:i/>
          <w:color w:val="auto"/>
          <w:u w:val="none"/>
        </w:rPr>
        <w:t xml:space="preserve"> provides open and affordable access to high quality undergraduate degrees and certificates and participates in partnerships with other colleges and universities to facilitate access to baccalaureate and higher degrees.”</w:t>
      </w:r>
    </w:p>
    <w:p w14:paraId="186F6752" w14:textId="77777777" w:rsidR="008A1315" w:rsidRDefault="008A1315" w:rsidP="001D0003">
      <w:pPr>
        <w:rPr>
          <w:rStyle w:val="Hyperlink"/>
          <w:color w:val="auto"/>
          <w:u w:val="none"/>
        </w:rPr>
      </w:pPr>
    </w:p>
    <w:p w14:paraId="04DB6A5E" w14:textId="15549038" w:rsidR="00E24F81" w:rsidRDefault="00E24F81" w:rsidP="001D0003">
      <w:pPr>
        <w:rPr>
          <w:rStyle w:val="Hyperlink"/>
          <w:color w:val="auto"/>
          <w:u w:val="none"/>
        </w:rPr>
      </w:pPr>
      <w:r>
        <w:rPr>
          <w:rStyle w:val="Hyperlink"/>
          <w:color w:val="auto"/>
          <w:u w:val="none"/>
        </w:rPr>
        <w:t xml:space="preserve">This change outside </w:t>
      </w:r>
      <w:r w:rsidR="00806B4A">
        <w:rPr>
          <w:rStyle w:val="Hyperlink"/>
          <w:color w:val="auto"/>
          <w:u w:val="none"/>
        </w:rPr>
        <w:t xml:space="preserve">of </w:t>
      </w:r>
      <w:r>
        <w:rPr>
          <w:rStyle w:val="Hyperlink"/>
          <w:color w:val="auto"/>
          <w:u w:val="none"/>
        </w:rPr>
        <w:t xml:space="preserve">the established process was </w:t>
      </w:r>
      <w:r w:rsidR="008A1315">
        <w:rPr>
          <w:rStyle w:val="Hyperlink"/>
          <w:color w:val="auto"/>
          <w:u w:val="none"/>
        </w:rPr>
        <w:t>necessary</w:t>
      </w:r>
      <w:r>
        <w:rPr>
          <w:rStyle w:val="Hyperlink"/>
          <w:color w:val="auto"/>
          <w:u w:val="none"/>
        </w:rPr>
        <w:t xml:space="preserve"> to inform the </w:t>
      </w:r>
      <w:r w:rsidR="004B5F04">
        <w:rPr>
          <w:rStyle w:val="Hyperlink"/>
          <w:color w:val="auto"/>
          <w:u w:val="none"/>
        </w:rPr>
        <w:t>college community</w:t>
      </w:r>
      <w:r>
        <w:rPr>
          <w:rStyle w:val="Hyperlink"/>
          <w:color w:val="auto"/>
          <w:u w:val="none"/>
        </w:rPr>
        <w:t xml:space="preserve">, both internally and externally, of a change in institutional purpose and programming that would take effect prior to the next formal review process in 2016.  </w:t>
      </w:r>
    </w:p>
    <w:p w14:paraId="54502AAE" w14:textId="77777777" w:rsidR="00E24F81" w:rsidRDefault="00E24F81" w:rsidP="001D0003"/>
    <w:p w14:paraId="2282386B" w14:textId="77777777" w:rsidR="00E24F81" w:rsidRPr="00F57118" w:rsidRDefault="00E24F81" w:rsidP="00474D1A">
      <w:pPr>
        <w:keepNext/>
        <w:rPr>
          <w:rStyle w:val="Hyperlink"/>
          <w:b/>
          <w:i/>
          <w:color w:val="auto"/>
        </w:rPr>
      </w:pPr>
      <w:r w:rsidRPr="00F57118">
        <w:rPr>
          <w:rStyle w:val="Hyperlink"/>
          <w:b/>
          <w:i/>
          <w:color w:val="auto"/>
        </w:rPr>
        <w:t>Analysis</w:t>
      </w:r>
    </w:p>
    <w:p w14:paraId="78BB273A" w14:textId="77777777" w:rsidR="00E24F81" w:rsidRPr="00E110AE" w:rsidRDefault="00E24F81" w:rsidP="00474D1A">
      <w:pPr>
        <w:keepNext/>
        <w:rPr>
          <w:rStyle w:val="Hyperlink"/>
          <w:b/>
          <w:color w:val="auto"/>
        </w:rPr>
      </w:pPr>
    </w:p>
    <w:p w14:paraId="3EDCCB6A" w14:textId="5CE1C96C" w:rsidR="00E24F81" w:rsidRDefault="00E24F81" w:rsidP="006E3467">
      <w:r>
        <w:t>A structured, cyclical</w:t>
      </w:r>
      <w:r w:rsidR="00781707">
        <w:t>, five-</w:t>
      </w:r>
      <w:r>
        <w:t xml:space="preserve">year review of the College’s Vision, </w:t>
      </w:r>
      <w:smartTag w:uri="urn:schemas-microsoft-com:office:smarttags" w:element="place">
        <w:smartTag w:uri="urn:schemas-microsoft-com:office:smarttags" w:element="City">
          <w:r>
            <w:t>Mission</w:t>
          </w:r>
        </w:smartTag>
      </w:smartTag>
      <w:r>
        <w:t>, and Goals guarantees a comprehensive review with input from all constituent groups takes place on a regular basis.  However, the process also allows for intermediate revisions and additions when necessary</w:t>
      </w:r>
      <w:r w:rsidR="00781707">
        <w:t>,</w:t>
      </w:r>
      <w:r>
        <w:t xml:space="preserve"> such as the language change in 2015 to reflect approval to offer a baccalaureate degree and the addition of a fifth I</w:t>
      </w:r>
      <w:r w:rsidR="00781707">
        <w:t xml:space="preserve">nstitutional </w:t>
      </w:r>
      <w:r>
        <w:t>L</w:t>
      </w:r>
      <w:r w:rsidR="00781707">
        <w:t xml:space="preserve">earning </w:t>
      </w:r>
      <w:r>
        <w:t>O</w:t>
      </w:r>
      <w:r w:rsidR="00781707">
        <w:t>utcome</w:t>
      </w:r>
      <w:r>
        <w:t>.  This review aligns with the strategic</w:t>
      </w:r>
      <w:r w:rsidR="006221D5">
        <w:t xml:space="preserve"> planning process, which </w:t>
      </w:r>
      <w:r w:rsidR="00B708A6">
        <w:t>then</w:t>
      </w:r>
      <w:r w:rsidR="006221D5">
        <w:t xml:space="preserve"> </w:t>
      </w:r>
      <w:r>
        <w:t>guide</w:t>
      </w:r>
      <w:r w:rsidR="006221D5">
        <w:t>s</w:t>
      </w:r>
      <w:r>
        <w:t xml:space="preserve"> institutional priorities and inform</w:t>
      </w:r>
      <w:r w:rsidR="006221D5">
        <w:t>s</w:t>
      </w:r>
      <w:r>
        <w:t xml:space="preserve"> annual planning.</w:t>
      </w:r>
    </w:p>
    <w:p w14:paraId="3774785A" w14:textId="77777777" w:rsidR="00E24F81" w:rsidRDefault="00E24F81" w:rsidP="001D0003"/>
    <w:p w14:paraId="0A39DC2E" w14:textId="77777777" w:rsidR="00E24F81" w:rsidRPr="00F57118" w:rsidRDefault="00E24F81" w:rsidP="00474D1A">
      <w:pPr>
        <w:keepNext/>
        <w:rPr>
          <w:b/>
          <w:i/>
          <w:u w:val="single"/>
        </w:rPr>
      </w:pPr>
      <w:r w:rsidRPr="00F57118">
        <w:rPr>
          <w:b/>
          <w:i/>
          <w:u w:val="single"/>
        </w:rPr>
        <w:t>Plan</w:t>
      </w:r>
    </w:p>
    <w:p w14:paraId="68C08F20" w14:textId="77777777" w:rsidR="00E24F81" w:rsidRDefault="00E24F81" w:rsidP="00474D1A">
      <w:pPr>
        <w:keepNext/>
        <w:rPr>
          <w:b/>
          <w:u w:val="single"/>
        </w:rPr>
      </w:pPr>
    </w:p>
    <w:p w14:paraId="3E3FA43A" w14:textId="178BB356" w:rsidR="001267AB" w:rsidRPr="00DE7E87" w:rsidRDefault="00DE7E87" w:rsidP="00DE7E87">
      <w:pPr>
        <w:pStyle w:val="Default"/>
        <w:rPr>
          <w:color w:val="auto"/>
        </w:rPr>
      </w:pPr>
      <w:r>
        <w:rPr>
          <w:color w:val="auto"/>
        </w:rPr>
        <w:t xml:space="preserve">Based on an analysis of the evidence, Santa Monica College is meeting this standard and will continue to monitor its progress.  </w:t>
      </w:r>
      <w:r w:rsidR="00781707">
        <w:t>As noted in Standard IA.1</w:t>
      </w:r>
      <w:r w:rsidR="001267AB">
        <w:t>, the College’s Mission currently does</w:t>
      </w:r>
      <w:r w:rsidR="00F003FB">
        <w:t xml:space="preserve"> not reflect its commitment to Distance E</w:t>
      </w:r>
      <w:r w:rsidR="001267AB">
        <w:t>ducation</w:t>
      </w:r>
      <w:r w:rsidR="00E359BC">
        <w:t xml:space="preserve"> and equity.</w:t>
      </w:r>
      <w:r w:rsidR="00B708A6">
        <w:t xml:space="preserve">  The plan identified in IA.1 applies to this Standard as well. </w:t>
      </w:r>
    </w:p>
    <w:p w14:paraId="2A8C2A9A" w14:textId="77777777" w:rsidR="00E24F81" w:rsidRDefault="00E24F81" w:rsidP="00515FC9"/>
    <w:p w14:paraId="77BE79CB" w14:textId="2EABD842" w:rsidR="00F15ED5" w:rsidRDefault="00F15ED5">
      <w:pPr>
        <w:rPr>
          <w:b/>
        </w:rPr>
      </w:pPr>
    </w:p>
    <w:p w14:paraId="61E660D6" w14:textId="53562122" w:rsidR="007F1214" w:rsidRPr="003B4E01" w:rsidRDefault="003B4E01" w:rsidP="00515FC9">
      <w:pPr>
        <w:rPr>
          <w:b/>
          <w:i/>
        </w:rPr>
      </w:pPr>
      <w:r w:rsidRPr="003B4E01">
        <w:rPr>
          <w:b/>
          <w:i/>
        </w:rPr>
        <w:t>LIST OF</w:t>
      </w:r>
      <w:r w:rsidR="007F1214" w:rsidRPr="003B4E01">
        <w:rPr>
          <w:b/>
          <w:i/>
        </w:rPr>
        <w:t xml:space="preserve"> EVIDENCE</w:t>
      </w:r>
      <w:r w:rsidRPr="003B4E01">
        <w:rPr>
          <w:b/>
          <w:i/>
        </w:rPr>
        <w:t xml:space="preserve"> FOR STANDARD IA</w:t>
      </w:r>
    </w:p>
    <w:sectPr w:rsidR="007F1214" w:rsidRPr="003B4E01" w:rsidSect="00944855">
      <w:headerReference w:type="even" r:id="rId83"/>
      <w:headerReference w:type="default" r:id="rId84"/>
      <w:footerReference w:type="even" r:id="rId85"/>
      <w:footerReference w:type="default" r:id="rId86"/>
      <w:headerReference w:type="first" r:id="rId87"/>
      <w:footerReference w:type="first" r:id="rId88"/>
      <w:endnotePr>
        <w:numFmt w:val="decimal"/>
      </w:endnotePr>
      <w:pgSz w:w="12240" w:h="15840"/>
      <w:pgMar w:top="1440" w:right="1440" w:bottom="1440" w:left="1800" w:header="720" w:footer="720" w:gutter="0"/>
      <w:pgNumType w:start="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027CE" w14:textId="77777777" w:rsidR="0040306F" w:rsidRDefault="0040306F" w:rsidP="007B132C">
      <w:r>
        <w:separator/>
      </w:r>
    </w:p>
  </w:endnote>
  <w:endnote w:type="continuationSeparator" w:id="0">
    <w:p w14:paraId="5BE32E47" w14:textId="77777777" w:rsidR="0040306F" w:rsidRDefault="0040306F" w:rsidP="007B132C">
      <w:r>
        <w:continuationSeparator/>
      </w:r>
    </w:p>
  </w:endnote>
  <w:endnote w:id="1">
    <w:p w14:paraId="11F645F5" w14:textId="413B1443"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sz w:val="21"/>
          <w:szCs w:val="21"/>
        </w:rPr>
        <w:endnoteRef/>
      </w:r>
      <w:r w:rsidRPr="000B28AC">
        <w:rPr>
          <w:rFonts w:asciiTheme="minorHAnsi" w:hAnsiTheme="minorHAnsi"/>
          <w:sz w:val="21"/>
          <w:szCs w:val="21"/>
        </w:rPr>
        <w:tab/>
      </w:r>
      <w:r w:rsidRPr="000B28AC">
        <w:rPr>
          <w:rFonts w:asciiTheme="minorHAnsi" w:hAnsiTheme="minorHAnsi"/>
          <w:color w:val="000000" w:themeColor="text1"/>
          <w:sz w:val="21"/>
          <w:szCs w:val="21"/>
        </w:rPr>
        <w:t>IA1_Strategic_Initiatives.pdf</w:t>
      </w:r>
    </w:p>
  </w:endnote>
  <w:endnote w:id="2">
    <w:p w14:paraId="272020DC" w14:textId="169A5E75"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IA1_MPE_2015-2016.pdf</w:t>
      </w:r>
    </w:p>
  </w:endnote>
  <w:endnote w:id="3">
    <w:p w14:paraId="2946DF96" w14:textId="4E274236"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IA1_District_Planning_and_Advisory_Council_Board_Policy_2250.pdf</w:t>
      </w:r>
    </w:p>
  </w:endnote>
  <w:endnote w:id="4">
    <w:p w14:paraId="2F658120" w14:textId="26571ECC"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IA1_Vision_Mission_and_Goals.pdf</w:t>
      </w:r>
    </w:p>
  </w:endnote>
  <w:endnote w:id="5">
    <w:p w14:paraId="79AA9444" w14:textId="34132640" w:rsidR="000E54D8" w:rsidRPr="000B28AC" w:rsidRDefault="000E54D8" w:rsidP="007F1214">
      <w:pPr>
        <w:pStyle w:val="Style1"/>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IA1_BT_Minutes_4-3-2012.pdf</w:t>
      </w:r>
    </w:p>
  </w:endnote>
  <w:endnote w:id="6">
    <w:p w14:paraId="3A937D65" w14:textId="77777777" w:rsidR="000E54D8" w:rsidRPr="000B28AC" w:rsidRDefault="000E54D8" w:rsidP="00C854D2">
      <w:pPr>
        <w:pStyle w:val="Style1"/>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IA1_DPAC_Minutes_3-14-2012.pdf</w:t>
      </w:r>
    </w:p>
  </w:endnote>
  <w:endnote w:id="7">
    <w:p w14:paraId="1658EC7E" w14:textId="77777777" w:rsidR="000E54D8" w:rsidRPr="000B28AC" w:rsidRDefault="000E54D8" w:rsidP="00511672">
      <w:pPr>
        <w:pStyle w:val="Style1"/>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 xml:space="preserve">IA1_BT_Minutes_3-4-2014.pdf  </w:t>
      </w:r>
    </w:p>
  </w:endnote>
  <w:endnote w:id="8">
    <w:p w14:paraId="7AAEE13E" w14:textId="4558070F" w:rsidR="000E54D8" w:rsidRPr="000B28AC" w:rsidRDefault="000E54D8" w:rsidP="007F1214">
      <w:pPr>
        <w:pStyle w:val="Style1"/>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IA1_BT_Minutes_4-7-2015_excerpt.pdf</w:t>
      </w:r>
    </w:p>
  </w:endnote>
  <w:endnote w:id="9">
    <w:p w14:paraId="5840F22B" w14:textId="5572DDFA"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IA1_Educational_Goals_of_Santa_Monica_College-Students_Fall_2014.pdf</w:t>
      </w:r>
    </w:p>
  </w:endnote>
  <w:endnote w:id="10">
    <w:p w14:paraId="3CC1387C" w14:textId="3C9FCED1" w:rsidR="000E54D8" w:rsidRPr="000B28AC" w:rsidRDefault="000E54D8" w:rsidP="007F1214">
      <w:pPr>
        <w:pStyle w:val="Style1"/>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IA1_PS_Arts_website.pdf</w:t>
      </w:r>
    </w:p>
  </w:endnote>
  <w:endnote w:id="11">
    <w:p w14:paraId="5790E494" w14:textId="77777777" w:rsidR="000E54D8" w:rsidRPr="000B28AC" w:rsidRDefault="000E54D8" w:rsidP="004F3B94">
      <w:pPr>
        <w:pStyle w:val="Style1"/>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IA1_Program_Review_12-13_Fall_Madison_Project.pdf</w:t>
      </w:r>
    </w:p>
  </w:endnote>
  <w:endnote w:id="12">
    <w:p w14:paraId="64A48815" w14:textId="51930F52"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IA1_Demographic_Comparison_of_SMC-Online_Students_Fall_2013.pdf</w:t>
      </w:r>
    </w:p>
  </w:endnote>
  <w:endnote w:id="13">
    <w:p w14:paraId="5C6668D3" w14:textId="007DB395"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IA1_SMC_catalog_15-16_excerpt.pdf</w:t>
      </w:r>
    </w:p>
  </w:endnote>
  <w:endnote w:id="14">
    <w:p w14:paraId="12E3AEC6" w14:textId="682D318E"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IA1_SMC_Degrees_and_Certificates_Offered_by_Area_of_Study.pdf</w:t>
      </w:r>
    </w:p>
  </w:endnote>
  <w:endnote w:id="15">
    <w:p w14:paraId="3CBEC129" w14:textId="3E30DFA0" w:rsidR="000E54D8" w:rsidRDefault="000E54D8" w:rsidP="00D553D6">
      <w:pPr>
        <w:pStyle w:val="EndnoteText"/>
        <w:tabs>
          <w:tab w:val="left" w:pos="540"/>
        </w:tabs>
      </w:pPr>
      <w:r>
        <w:rPr>
          <w:rStyle w:val="EndnoteReference"/>
        </w:rPr>
        <w:endnoteRef/>
      </w:r>
      <w:r>
        <w:t xml:space="preserve"> </w:t>
      </w:r>
      <w:r>
        <w:tab/>
      </w:r>
      <w:r w:rsidRPr="00D553D6">
        <w:t>IA1_Active_ADTs_July2016_CCCCO.pdf</w:t>
      </w:r>
    </w:p>
  </w:endnote>
  <w:endnote w:id="16">
    <w:p w14:paraId="7AFB5643" w14:textId="039C7BB1" w:rsidR="000E54D8" w:rsidRPr="000B28AC" w:rsidRDefault="000E54D8" w:rsidP="00B5575D">
      <w:pPr>
        <w:pStyle w:val="EndnoteText"/>
        <w:tabs>
          <w:tab w:val="left" w:pos="540"/>
        </w:tabs>
        <w:rPr>
          <w:rFonts w:asciiTheme="minorHAnsi" w:hAnsiTheme="minorHAnsi"/>
          <w:sz w:val="21"/>
          <w:szCs w:val="21"/>
        </w:rPr>
      </w:pPr>
      <w:r w:rsidRPr="000B28AC">
        <w:rPr>
          <w:rStyle w:val="EndnoteReference"/>
          <w:rFonts w:asciiTheme="minorHAnsi" w:hAnsiTheme="minorHAnsi"/>
          <w:sz w:val="21"/>
          <w:szCs w:val="21"/>
        </w:rPr>
        <w:endnoteRef/>
      </w:r>
      <w:r w:rsidRPr="000B28AC">
        <w:rPr>
          <w:rFonts w:asciiTheme="minorHAnsi" w:hAnsiTheme="minorHAnsi"/>
          <w:sz w:val="21"/>
          <w:szCs w:val="21"/>
        </w:rPr>
        <w:t xml:space="preserve"> </w:t>
      </w:r>
      <w:r w:rsidRPr="000B28AC">
        <w:rPr>
          <w:rFonts w:asciiTheme="minorHAnsi" w:hAnsiTheme="minorHAnsi"/>
          <w:color w:val="000000" w:themeColor="text1"/>
          <w:sz w:val="21"/>
          <w:szCs w:val="21"/>
        </w:rPr>
        <w:tab/>
        <w:t>IA1_2015_Institutional_Effectiveness_Report_excerpt.pdf</w:t>
      </w:r>
    </w:p>
  </w:endnote>
  <w:endnote w:id="17">
    <w:p w14:paraId="09E42419" w14:textId="6AB32BA8" w:rsidR="000E54D8" w:rsidRPr="000B28AC" w:rsidRDefault="000E54D8" w:rsidP="007F1214">
      <w:pPr>
        <w:pStyle w:val="Comment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 xml:space="preserve">IA1_2015_Dashboard_Report_excerpt.pdf </w:t>
      </w:r>
    </w:p>
  </w:endnote>
  <w:endnote w:id="18">
    <w:p w14:paraId="00FEA57A" w14:textId="77777777" w:rsidR="000E54D8" w:rsidRPr="000B28AC" w:rsidRDefault="000E54D8" w:rsidP="004E2C8D">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 xml:space="preserve"> </w:t>
      </w:r>
      <w:r w:rsidRPr="000B28AC">
        <w:rPr>
          <w:rFonts w:asciiTheme="minorHAnsi" w:hAnsiTheme="minorHAnsi"/>
          <w:color w:val="000000" w:themeColor="text1"/>
          <w:sz w:val="21"/>
          <w:szCs w:val="21"/>
        </w:rPr>
        <w:tab/>
        <w:t>IA1_FirstYearExperience_and_RelatedSupportServicePrograms.pdf</w:t>
      </w:r>
    </w:p>
  </w:endnote>
  <w:endnote w:id="19">
    <w:p w14:paraId="71629476" w14:textId="69720CC8"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IA1_Prep2Test_website.pdf</w:t>
      </w:r>
    </w:p>
  </w:endnote>
  <w:endnote w:id="20">
    <w:p w14:paraId="6DE67551" w14:textId="4A29E2CE"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IA1_MyEd_Plan.pdf</w:t>
      </w:r>
    </w:p>
  </w:endnote>
  <w:endnote w:id="21">
    <w:p w14:paraId="636A78AC" w14:textId="39D062A5"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IA1_Supplemental_Instruction_website.pdf</w:t>
      </w:r>
    </w:p>
  </w:endnote>
  <w:endnote w:id="22">
    <w:p w14:paraId="2E1BEA4A" w14:textId="64CE3805"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IA1_Instructions_for_FT_Hiring_Requests_2015-2016.pdf</w:t>
      </w:r>
    </w:p>
  </w:endnote>
  <w:endnote w:id="23">
    <w:p w14:paraId="0ED16A61" w14:textId="22114011"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IA1_DPAC_minutes_1-19-2011_FTE_Email_CB.pdf</w:t>
      </w:r>
    </w:p>
  </w:endnote>
  <w:endnote w:id="24">
    <w:p w14:paraId="2E23F19F" w14:textId="70AC6621"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IA2_ILOs_and_Core_Competencies_2013.pdf</w:t>
      </w:r>
    </w:p>
  </w:endnote>
  <w:endnote w:id="25">
    <w:p w14:paraId="0BD45D55" w14:textId="6F919330"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IA2_Institutional_Effectiveness-Joint_Committee_website.pdf</w:t>
      </w:r>
    </w:p>
  </w:endnote>
  <w:endnote w:id="26">
    <w:p w14:paraId="18E59DF2" w14:textId="77777777" w:rsidR="000E54D8" w:rsidRPr="000B28AC" w:rsidRDefault="000E54D8" w:rsidP="00B41F76">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IA2_Key_Indicators_Used_To_Measure_Acheivement_of_Supporting_Goals.pdf</w:t>
      </w:r>
    </w:p>
  </w:endnote>
  <w:endnote w:id="27">
    <w:p w14:paraId="1DEA5516" w14:textId="30D9CDDD"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IA2_Institutional_Effectiveness_webpage.pdf</w:t>
      </w:r>
    </w:p>
  </w:endnote>
  <w:endnote w:id="28">
    <w:p w14:paraId="048E17A9" w14:textId="677F8F57"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IA2_2015_Dashboard_Report.pdf</w:t>
      </w:r>
    </w:p>
  </w:endnote>
  <w:endnote w:id="29">
    <w:p w14:paraId="123EECBC" w14:textId="6CF73951"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IA1_District_Planning_and_Advisory_Council_Board_Policy_2250.pdf</w:t>
      </w:r>
    </w:p>
  </w:endnote>
  <w:endnote w:id="30">
    <w:p w14:paraId="2BB188BA" w14:textId="77777777" w:rsidR="000E54D8" w:rsidRPr="000B28AC" w:rsidRDefault="000E54D8" w:rsidP="00BE460C">
      <w:pPr>
        <w:pStyle w:val="NoSpacing"/>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 xml:space="preserve">IA2_2015_IE_Committee_Report_to_DPAC.pdf   </w:t>
      </w:r>
    </w:p>
  </w:endnote>
  <w:endnote w:id="31">
    <w:p w14:paraId="43551F41" w14:textId="77777777" w:rsidR="000E54D8" w:rsidRPr="000B28AC" w:rsidRDefault="000E54D8" w:rsidP="00BE460C">
      <w:pPr>
        <w:pStyle w:val="NoSpacing"/>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IA2_Summary_of_IE_Comm_Recommendations_for_Planning.pdf</w:t>
      </w:r>
    </w:p>
  </w:endnote>
  <w:endnote w:id="32">
    <w:p w14:paraId="2BD22C3F" w14:textId="28B36AC3"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IA2_Strategic_Planning_Task_Force_2011-2012_webpage.pdf</w:t>
      </w:r>
    </w:p>
  </w:endnote>
  <w:endnote w:id="33">
    <w:p w14:paraId="70B0A704" w14:textId="35674979"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IA2_GRIT_Initiative_website.pdf</w:t>
      </w:r>
    </w:p>
  </w:endnote>
  <w:endnote w:id="34">
    <w:p w14:paraId="2C7C4AAB" w14:textId="35021FE7"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IA1_BT_Minutes_4-3-2012.pdf</w:t>
      </w:r>
    </w:p>
  </w:endnote>
  <w:endnote w:id="35">
    <w:p w14:paraId="627F6DDD" w14:textId="564685AB" w:rsidR="000E54D8" w:rsidRPr="000B28AC" w:rsidRDefault="000E54D8" w:rsidP="007F1214">
      <w:pPr>
        <w:pStyle w:val="EndnoteText"/>
        <w:ind w:left="540" w:hanging="540"/>
        <w:rPr>
          <w:rFonts w:asciiTheme="minorHAnsi" w:hAnsiTheme="minorHAnsi"/>
          <w:color w:val="000000" w:themeColor="text1"/>
          <w:sz w:val="21"/>
          <w:szCs w:val="21"/>
        </w:rPr>
      </w:pPr>
      <w:r w:rsidRPr="00E0692D">
        <w:rPr>
          <w:rStyle w:val="EndnoteReference"/>
          <w:rFonts w:asciiTheme="minorHAnsi" w:hAnsiTheme="minorHAnsi"/>
          <w:color w:val="000000" w:themeColor="text1"/>
          <w:sz w:val="21"/>
          <w:szCs w:val="21"/>
        </w:rPr>
        <w:endnoteRef/>
      </w:r>
      <w:r w:rsidRPr="00E0692D">
        <w:rPr>
          <w:rFonts w:asciiTheme="minorHAnsi" w:hAnsiTheme="minorHAnsi"/>
          <w:color w:val="000000" w:themeColor="text1"/>
          <w:sz w:val="21"/>
          <w:szCs w:val="21"/>
        </w:rPr>
        <w:tab/>
        <w:t>IA2_BT_Minutes_3-3-2015.pdf</w:t>
      </w:r>
    </w:p>
  </w:endnote>
  <w:endnote w:id="36">
    <w:p w14:paraId="10D58530" w14:textId="35FED90F"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IA2_SuccessNavigator_Institution_Report.pdf</w:t>
      </w:r>
    </w:p>
  </w:endnote>
  <w:endnote w:id="37">
    <w:p w14:paraId="339015B3" w14:textId="1D91F5D6"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r>
      <w:r w:rsidRPr="000B28AC">
        <w:rPr>
          <w:rStyle w:val="Hyperlink"/>
          <w:rFonts w:asciiTheme="minorHAnsi" w:hAnsiTheme="minorHAnsi"/>
          <w:color w:val="000000" w:themeColor="text1"/>
          <w:sz w:val="21"/>
          <w:szCs w:val="21"/>
          <w:u w:val="none"/>
        </w:rPr>
        <w:t>IA2_Service-Learning_Program_website.pdf</w:t>
      </w:r>
    </w:p>
  </w:endnote>
  <w:endnote w:id="38">
    <w:p w14:paraId="374347A5" w14:textId="65EE4E8C"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IA2_nstitutional_Effectiveness-Joint_Committee_website.pdf</w:t>
      </w:r>
    </w:p>
  </w:endnote>
  <w:endnote w:id="39">
    <w:p w14:paraId="26821E3C" w14:textId="2680DC5B"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r>
      <w:r w:rsidRPr="000B28AC">
        <w:rPr>
          <w:rStyle w:val="Hyperlink"/>
          <w:rFonts w:asciiTheme="minorHAnsi" w:hAnsiTheme="minorHAnsi"/>
          <w:color w:val="000000" w:themeColor="text1"/>
          <w:sz w:val="21"/>
          <w:szCs w:val="21"/>
          <w:u w:val="none"/>
        </w:rPr>
        <w:t>IA2_2015-2016_SMC_Student_Equity_Plan.pdf</w:t>
      </w:r>
    </w:p>
  </w:endnote>
  <w:endnote w:id="40">
    <w:p w14:paraId="698F35FD" w14:textId="60541052"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IA3_SMC_Planning_Organization.jpg</w:t>
      </w:r>
    </w:p>
  </w:endnote>
  <w:endnote w:id="41">
    <w:p w14:paraId="60688D40" w14:textId="5096D5AB"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IA3_MPE_&amp;_Strategic_Planning_Timeline.pdf</w:t>
      </w:r>
    </w:p>
  </w:endnote>
  <w:endnote w:id="42">
    <w:p w14:paraId="7100B815" w14:textId="77777777" w:rsidR="000E54D8" w:rsidRPr="000B28AC" w:rsidRDefault="000E54D8" w:rsidP="003D6F33">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IA1_District_Planning_and_Advisory_Council_Board_Policy_2250.pdf</w:t>
      </w:r>
    </w:p>
  </w:endnote>
  <w:endnote w:id="43">
    <w:p w14:paraId="30767B7F" w14:textId="24D46ED5" w:rsidR="000E54D8" w:rsidRPr="000B28AC" w:rsidRDefault="000E54D8" w:rsidP="00B5575D">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IA3_2011_Institutional_Effectiveness_Report.pdf</w:t>
      </w:r>
    </w:p>
  </w:endnote>
  <w:endnote w:id="44">
    <w:p w14:paraId="64AD4DD7" w14:textId="7AA426F9" w:rsidR="000E54D8" w:rsidRPr="000B28AC" w:rsidRDefault="000E54D8" w:rsidP="00B5575D">
      <w:pPr>
        <w:pStyle w:val="EndnoteText"/>
        <w:tabs>
          <w:tab w:val="left" w:pos="540"/>
        </w:tabs>
        <w:rPr>
          <w:rFonts w:asciiTheme="minorHAnsi" w:hAnsiTheme="minorHAnsi"/>
          <w:sz w:val="21"/>
          <w:szCs w:val="21"/>
        </w:rPr>
      </w:pPr>
      <w:r w:rsidRPr="000B28AC">
        <w:rPr>
          <w:rStyle w:val="EndnoteReference"/>
          <w:rFonts w:asciiTheme="minorHAnsi" w:hAnsiTheme="minorHAnsi"/>
          <w:sz w:val="21"/>
          <w:szCs w:val="21"/>
        </w:rPr>
        <w:endnoteRef/>
      </w:r>
      <w:r w:rsidRPr="000B28AC">
        <w:rPr>
          <w:rFonts w:asciiTheme="minorHAnsi" w:hAnsiTheme="minorHAnsi"/>
          <w:sz w:val="21"/>
          <w:szCs w:val="21"/>
        </w:rPr>
        <w:t xml:space="preserve"> </w:t>
      </w:r>
      <w:r w:rsidRPr="000B28AC">
        <w:rPr>
          <w:rFonts w:asciiTheme="minorHAnsi" w:hAnsiTheme="minorHAnsi"/>
          <w:sz w:val="21"/>
          <w:szCs w:val="21"/>
        </w:rPr>
        <w:tab/>
      </w:r>
      <w:r w:rsidRPr="000B28AC">
        <w:rPr>
          <w:rFonts w:asciiTheme="minorHAnsi" w:hAnsiTheme="minorHAnsi"/>
          <w:color w:val="000000" w:themeColor="text1"/>
          <w:sz w:val="21"/>
          <w:szCs w:val="21"/>
        </w:rPr>
        <w:t>IA3_2013_Institutional_Effectiveness_Report.pdf</w:t>
      </w:r>
    </w:p>
  </w:endnote>
  <w:endnote w:id="45">
    <w:p w14:paraId="07E54D74" w14:textId="1AB08AFD" w:rsidR="000E54D8" w:rsidRPr="000B28AC" w:rsidRDefault="000E54D8" w:rsidP="00B5575D">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sz w:val="21"/>
          <w:szCs w:val="21"/>
        </w:rPr>
        <w:endnoteRef/>
      </w:r>
      <w:r w:rsidRPr="000B28AC">
        <w:rPr>
          <w:rFonts w:asciiTheme="minorHAnsi" w:hAnsiTheme="minorHAnsi"/>
          <w:sz w:val="21"/>
          <w:szCs w:val="21"/>
        </w:rPr>
        <w:tab/>
      </w:r>
      <w:r w:rsidRPr="000B28AC">
        <w:rPr>
          <w:rFonts w:asciiTheme="minorHAnsi" w:hAnsiTheme="minorHAnsi"/>
          <w:color w:val="000000" w:themeColor="text1"/>
          <w:sz w:val="21"/>
          <w:szCs w:val="21"/>
        </w:rPr>
        <w:t>IA3_2014_Institutional_Effectiveness_Report.pdf</w:t>
      </w:r>
    </w:p>
  </w:endnote>
  <w:endnote w:id="46">
    <w:p w14:paraId="29889580" w14:textId="755AE9CE" w:rsidR="000E54D8" w:rsidRPr="000B28AC" w:rsidRDefault="000E54D8" w:rsidP="00B5575D">
      <w:pPr>
        <w:pStyle w:val="EndnoteText"/>
        <w:tabs>
          <w:tab w:val="left" w:pos="540"/>
        </w:tabs>
        <w:rPr>
          <w:rFonts w:asciiTheme="minorHAnsi" w:hAnsiTheme="minorHAnsi"/>
          <w:sz w:val="21"/>
          <w:szCs w:val="21"/>
        </w:rPr>
      </w:pPr>
      <w:r w:rsidRPr="000B28AC">
        <w:rPr>
          <w:rStyle w:val="EndnoteReference"/>
          <w:rFonts w:asciiTheme="minorHAnsi" w:hAnsiTheme="minorHAnsi"/>
          <w:sz w:val="21"/>
          <w:szCs w:val="21"/>
        </w:rPr>
        <w:endnoteRef/>
      </w:r>
      <w:r w:rsidRPr="000B28AC">
        <w:rPr>
          <w:rFonts w:asciiTheme="minorHAnsi" w:hAnsiTheme="minorHAnsi"/>
          <w:sz w:val="21"/>
          <w:szCs w:val="21"/>
        </w:rPr>
        <w:tab/>
        <w:t>IA3_2015_Institutional_Effectiveness_Report.pdf</w:t>
      </w:r>
    </w:p>
  </w:endnote>
  <w:endnote w:id="47">
    <w:p w14:paraId="7F971FD0" w14:textId="6B841589"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IA3_Master_Plans_for_Education.pdf</w:t>
      </w:r>
    </w:p>
  </w:endnote>
  <w:endnote w:id="48">
    <w:p w14:paraId="5A79F802" w14:textId="0A9753B1" w:rsidR="000E54D8" w:rsidRPr="000B28AC" w:rsidRDefault="000E54D8" w:rsidP="007F1214">
      <w:pPr>
        <w:pStyle w:val="EndnoteText"/>
        <w:ind w:left="540" w:hanging="540"/>
        <w:rPr>
          <w:rFonts w:asciiTheme="minorHAnsi" w:hAnsiTheme="minorHAnsi"/>
          <w:color w:val="000000" w:themeColor="text1"/>
          <w:sz w:val="21"/>
          <w:szCs w:val="21"/>
        </w:rPr>
      </w:pPr>
      <w:r w:rsidRPr="00E20BC1">
        <w:rPr>
          <w:rStyle w:val="EndnoteReference"/>
          <w:rFonts w:asciiTheme="minorHAnsi" w:hAnsiTheme="minorHAnsi"/>
          <w:color w:val="000000" w:themeColor="text1"/>
          <w:sz w:val="21"/>
          <w:szCs w:val="21"/>
        </w:rPr>
        <w:endnoteRef/>
      </w:r>
      <w:r w:rsidRPr="00E20BC1">
        <w:rPr>
          <w:rFonts w:asciiTheme="minorHAnsi" w:hAnsiTheme="minorHAnsi"/>
          <w:color w:val="000000" w:themeColor="text1"/>
          <w:sz w:val="21"/>
          <w:szCs w:val="21"/>
        </w:rPr>
        <w:tab/>
      </w:r>
      <w:r w:rsidR="00E20BC1" w:rsidRPr="00E20BC1">
        <w:rPr>
          <w:rFonts w:asciiTheme="minorHAnsi" w:hAnsiTheme="minorHAnsi"/>
          <w:color w:val="000000" w:themeColor="text1"/>
          <w:sz w:val="21"/>
          <w:szCs w:val="21"/>
        </w:rPr>
        <w:t>IA3_SMC_Planning_Organization.jpg</w:t>
      </w:r>
    </w:p>
  </w:endnote>
  <w:endnote w:id="49">
    <w:p w14:paraId="45108D98" w14:textId="77777777" w:rsidR="000E54D8" w:rsidRPr="000B28AC" w:rsidRDefault="000E54D8" w:rsidP="00CE7FF1">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IA3_MPE_2006.pdf</w:t>
      </w:r>
    </w:p>
  </w:endnote>
  <w:endnote w:id="50">
    <w:p w14:paraId="49A9CAC0" w14:textId="77777777" w:rsidR="000E54D8" w:rsidRPr="000B28AC" w:rsidRDefault="000E54D8" w:rsidP="00CE7FF1">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IA3_Master_Plan_for_Education_2011-2012.pdf</w:t>
      </w:r>
    </w:p>
  </w:endnote>
  <w:endnote w:id="51">
    <w:p w14:paraId="4F88142D" w14:textId="34864035"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IA3_Summary_of_Strategic_Initiatives_2006_and_2011.pdf</w:t>
      </w:r>
    </w:p>
  </w:endnote>
  <w:endnote w:id="52">
    <w:p w14:paraId="55519957" w14:textId="77777777" w:rsidR="000E54D8" w:rsidRPr="000B28AC" w:rsidRDefault="000E54D8" w:rsidP="00223CE9">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IA3_Excerpt_from_2015-16_MPE_Institutional_Objectives_Completion_2011-2016.pdf</w:t>
      </w:r>
    </w:p>
  </w:endnote>
  <w:endnote w:id="53">
    <w:p w14:paraId="15C9ACA8" w14:textId="6747B8C3"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IA3_Academic_Senate_Objectives_MPE_2015-2016_Final.pdf</w:t>
      </w:r>
    </w:p>
  </w:endnote>
  <w:endnote w:id="54">
    <w:p w14:paraId="78CD9521" w14:textId="0EEBD137"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IA3_Master_Plan_for_Facilities_2010_Update.pdf</w:t>
      </w:r>
    </w:p>
  </w:endnote>
  <w:endnote w:id="55">
    <w:p w14:paraId="5A0EFDAA" w14:textId="4F4CC525"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IA3_Technology_Objectives_MPE_2015-2016.pdf</w:t>
      </w:r>
    </w:p>
  </w:endnote>
  <w:endnote w:id="56">
    <w:p w14:paraId="07D262A8" w14:textId="1A927644"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IA2_2015_IE_Committee_Report_to_DPAC.pdf</w:t>
      </w:r>
    </w:p>
  </w:endnote>
  <w:endnote w:id="57">
    <w:p w14:paraId="577ABA8F" w14:textId="62EB72C4"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IA3_DPAC_Annual_Report_MPE_2015-2016.pdf</w:t>
      </w:r>
    </w:p>
  </w:endnote>
  <w:endnote w:id="58">
    <w:p w14:paraId="49C7E5B3" w14:textId="4C2094CD"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IA3_Program_Review_Summary_MPE_2015-2016.pdf</w:t>
      </w:r>
    </w:p>
  </w:endnote>
  <w:endnote w:id="59">
    <w:p w14:paraId="2341049F" w14:textId="3356AB5F"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IA3_BT_Priorities_MPE_2015-2016.pdf</w:t>
      </w:r>
    </w:p>
  </w:endnote>
  <w:endnote w:id="60">
    <w:p w14:paraId="1A82F0FB" w14:textId="55533F7A"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IA3_Master_Plan_Objective_Response_Form_2016-2017.pdf</w:t>
      </w:r>
    </w:p>
  </w:endnote>
  <w:endnote w:id="61">
    <w:p w14:paraId="6121FC4B" w14:textId="77777777" w:rsidR="000E54D8" w:rsidRPr="000B28AC" w:rsidRDefault="000E54D8" w:rsidP="0074302E">
      <w:pPr>
        <w:pStyle w:val="EndnoteText"/>
        <w:tabs>
          <w:tab w:val="left" w:pos="540"/>
        </w:tabs>
        <w:rPr>
          <w:rFonts w:asciiTheme="minorHAnsi" w:hAnsiTheme="minorHAnsi"/>
          <w:sz w:val="21"/>
          <w:szCs w:val="21"/>
        </w:rPr>
      </w:pPr>
      <w:r w:rsidRPr="000B28AC">
        <w:rPr>
          <w:rStyle w:val="EndnoteReference"/>
          <w:rFonts w:asciiTheme="minorHAnsi" w:hAnsiTheme="minorHAnsi"/>
          <w:sz w:val="21"/>
          <w:szCs w:val="21"/>
        </w:rPr>
        <w:endnoteRef/>
      </w:r>
      <w:r w:rsidRPr="000B28AC">
        <w:rPr>
          <w:rFonts w:asciiTheme="minorHAnsi" w:hAnsiTheme="minorHAnsi"/>
          <w:color w:val="000000" w:themeColor="text1"/>
          <w:sz w:val="21"/>
          <w:szCs w:val="21"/>
        </w:rPr>
        <w:tab/>
        <w:t>IA3_DPAC_Minutes_7-9-2014.pdf</w:t>
      </w:r>
    </w:p>
  </w:endnote>
  <w:endnote w:id="62">
    <w:p w14:paraId="4740474D" w14:textId="77777777" w:rsidR="000E54D8" w:rsidRPr="000B28AC" w:rsidRDefault="000E54D8" w:rsidP="0074302E">
      <w:pPr>
        <w:pStyle w:val="EndnoteText"/>
        <w:tabs>
          <w:tab w:val="left" w:pos="540"/>
        </w:tabs>
        <w:rPr>
          <w:rFonts w:asciiTheme="minorHAnsi" w:hAnsiTheme="minorHAnsi"/>
          <w:sz w:val="21"/>
          <w:szCs w:val="21"/>
        </w:rPr>
      </w:pPr>
      <w:r w:rsidRPr="000B28AC">
        <w:rPr>
          <w:rStyle w:val="EndnoteReference"/>
          <w:rFonts w:asciiTheme="minorHAnsi" w:hAnsiTheme="minorHAnsi"/>
          <w:sz w:val="21"/>
          <w:szCs w:val="21"/>
        </w:rPr>
        <w:endnoteRef/>
      </w:r>
      <w:r w:rsidRPr="000B28AC">
        <w:rPr>
          <w:rFonts w:asciiTheme="minorHAnsi" w:hAnsiTheme="minorHAnsi"/>
          <w:color w:val="000000" w:themeColor="text1"/>
          <w:sz w:val="21"/>
          <w:szCs w:val="21"/>
        </w:rPr>
        <w:tab/>
        <w:t>IA3_DPAC_Minutes_7-23-2014.pdf</w:t>
      </w:r>
    </w:p>
  </w:endnote>
  <w:endnote w:id="63">
    <w:p w14:paraId="2C638EF9" w14:textId="3E7468FA" w:rsidR="000E54D8" w:rsidRPr="000B28AC" w:rsidRDefault="000E54D8" w:rsidP="00F40DB0">
      <w:pPr>
        <w:pStyle w:val="EndnoteText"/>
        <w:tabs>
          <w:tab w:val="left" w:pos="540"/>
        </w:tabs>
        <w:rPr>
          <w:rFonts w:asciiTheme="minorHAnsi" w:hAnsiTheme="minorHAnsi"/>
          <w:color w:val="000000" w:themeColor="text1"/>
          <w:sz w:val="21"/>
          <w:szCs w:val="21"/>
        </w:rPr>
      </w:pPr>
      <w:r w:rsidRPr="009E3E23">
        <w:rPr>
          <w:rStyle w:val="EndnoteReference"/>
          <w:rFonts w:asciiTheme="minorHAnsi" w:hAnsiTheme="minorHAnsi"/>
          <w:color w:val="000000" w:themeColor="text1"/>
          <w:sz w:val="21"/>
          <w:szCs w:val="21"/>
        </w:rPr>
        <w:endnoteRef/>
      </w:r>
      <w:r w:rsidRPr="009E3E23">
        <w:rPr>
          <w:rFonts w:asciiTheme="minorHAnsi" w:hAnsiTheme="minorHAnsi"/>
          <w:color w:val="000000" w:themeColor="text1"/>
          <w:sz w:val="21"/>
          <w:szCs w:val="21"/>
        </w:rPr>
        <w:tab/>
      </w:r>
      <w:r w:rsidR="009E3E23" w:rsidRPr="009E3E23">
        <w:rPr>
          <w:rFonts w:asciiTheme="minorHAnsi" w:hAnsiTheme="minorHAnsi"/>
          <w:color w:val="000000" w:themeColor="text1"/>
          <w:sz w:val="21"/>
          <w:szCs w:val="21"/>
        </w:rPr>
        <w:t>IA3_DPAC_Minutes_9-9-2015.pdf</w:t>
      </w:r>
    </w:p>
  </w:endnote>
  <w:endnote w:id="64">
    <w:p w14:paraId="4F56BEEC" w14:textId="75D33820" w:rsidR="000E54D8" w:rsidRPr="000B28AC" w:rsidRDefault="000E54D8" w:rsidP="007F1214">
      <w:pPr>
        <w:pStyle w:val="Comment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r>
      <w:r w:rsidRPr="000B28AC">
        <w:rPr>
          <w:rStyle w:val="Style1Char"/>
          <w:rFonts w:asciiTheme="minorHAnsi" w:hAnsiTheme="minorHAnsi"/>
          <w:color w:val="000000" w:themeColor="text1"/>
          <w:sz w:val="21"/>
          <w:szCs w:val="21"/>
        </w:rPr>
        <w:t xml:space="preserve">IA3_Annual_Program_Review_Forms_2013_Instrustional.pdf  </w:t>
      </w:r>
    </w:p>
  </w:endnote>
  <w:endnote w:id="65">
    <w:p w14:paraId="001A8EF5" w14:textId="50110C78"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IA3_Technology_Objectives_14-15.pdf</w:t>
      </w:r>
    </w:p>
  </w:endnote>
  <w:endnote w:id="66">
    <w:p w14:paraId="36216103" w14:textId="70BA1AA8"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IA3_BT_Minutes_7-21-2015.pdf</w:t>
      </w:r>
    </w:p>
  </w:endnote>
  <w:endnote w:id="67">
    <w:p w14:paraId="45F56D1F" w14:textId="77777777" w:rsidR="000E54D8" w:rsidRPr="000B28AC" w:rsidRDefault="000E54D8" w:rsidP="00B911CF">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IA3_BT_Agenda_10-6-2015_excerpt.pdf</w:t>
      </w:r>
    </w:p>
  </w:endnote>
  <w:endnote w:id="68">
    <w:p w14:paraId="4F61FDE6" w14:textId="21140B2F"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IA3_Personnel_and_Budget_Augmentation_Request_Form_16-17.pdf</w:t>
      </w:r>
    </w:p>
  </w:endnote>
  <w:endnote w:id="69">
    <w:p w14:paraId="5C250023" w14:textId="5CAD95BE"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IA3_Grant_Status_Report_from_BT_Minutes_7-7-2015.pdf</w:t>
      </w:r>
    </w:p>
  </w:endnote>
  <w:endnote w:id="70">
    <w:p w14:paraId="17799721" w14:textId="5148F71C"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r>
      <w:r w:rsidR="0018033F" w:rsidRPr="0018033F">
        <w:rPr>
          <w:rFonts w:asciiTheme="minorHAnsi" w:hAnsiTheme="minorHAnsi"/>
          <w:color w:val="000000" w:themeColor="text1"/>
          <w:sz w:val="21"/>
          <w:szCs w:val="21"/>
        </w:rPr>
        <w:t xml:space="preserve">IA1_SMC_website_Vision_Mission_and_Goals.pdf </w:t>
      </w:r>
      <w:r w:rsidR="0018033F">
        <w:rPr>
          <w:rFonts w:asciiTheme="minorHAnsi" w:hAnsiTheme="minorHAnsi"/>
          <w:color w:val="000000" w:themeColor="text1"/>
          <w:sz w:val="21"/>
          <w:szCs w:val="21"/>
        </w:rPr>
        <w:t xml:space="preserve">  </w:t>
      </w:r>
    </w:p>
  </w:endnote>
  <w:endnote w:id="71">
    <w:p w14:paraId="324BE1BD" w14:textId="7F3A1BC1" w:rsidR="000E54D8" w:rsidRPr="0002472A" w:rsidRDefault="000E54D8" w:rsidP="007F1214">
      <w:pPr>
        <w:pStyle w:val="EndnoteText"/>
        <w:ind w:left="540" w:hanging="540"/>
        <w:rPr>
          <w:rStyle w:val="Style1Char"/>
          <w:rFonts w:asciiTheme="minorHAnsi" w:hAnsiTheme="minorHAnsi"/>
          <w:color w:val="000000" w:themeColor="text1"/>
          <w:sz w:val="21"/>
          <w:szCs w:val="21"/>
        </w:rPr>
      </w:pPr>
      <w:r w:rsidRPr="0002472A">
        <w:rPr>
          <w:rStyle w:val="EndnoteReference"/>
          <w:rFonts w:asciiTheme="minorHAnsi" w:hAnsiTheme="minorHAnsi"/>
          <w:color w:val="000000" w:themeColor="text1"/>
          <w:sz w:val="21"/>
          <w:szCs w:val="21"/>
        </w:rPr>
        <w:endnoteRef/>
      </w:r>
      <w:r w:rsidRPr="0002472A">
        <w:rPr>
          <w:rFonts w:asciiTheme="minorHAnsi" w:hAnsiTheme="minorHAnsi"/>
          <w:color w:val="000000" w:themeColor="text1"/>
          <w:sz w:val="21"/>
          <w:szCs w:val="21"/>
        </w:rPr>
        <w:tab/>
      </w:r>
      <w:r w:rsidR="0018033F" w:rsidRPr="0002472A">
        <w:rPr>
          <w:rFonts w:asciiTheme="minorHAnsi" w:hAnsiTheme="minorHAnsi"/>
          <w:color w:val="000000" w:themeColor="text1"/>
          <w:sz w:val="21"/>
          <w:szCs w:val="21"/>
        </w:rPr>
        <w:t>IA4_District_Planning_ Vision_Mission_and_Goals.pdf</w:t>
      </w:r>
    </w:p>
  </w:endnote>
  <w:endnote w:id="72">
    <w:p w14:paraId="62312B42" w14:textId="3DEAC261" w:rsidR="000E54D8" w:rsidRPr="000B28AC" w:rsidRDefault="000E54D8" w:rsidP="007F1214">
      <w:pPr>
        <w:pStyle w:val="EndnoteText"/>
        <w:ind w:left="540" w:hanging="540"/>
        <w:rPr>
          <w:rFonts w:asciiTheme="minorHAnsi" w:hAnsiTheme="minorHAnsi"/>
          <w:color w:val="000000" w:themeColor="text1"/>
          <w:sz w:val="21"/>
          <w:szCs w:val="21"/>
        </w:rPr>
      </w:pPr>
      <w:r w:rsidRPr="0002472A">
        <w:rPr>
          <w:rStyle w:val="EndnoteReference"/>
          <w:rFonts w:asciiTheme="minorHAnsi" w:hAnsiTheme="minorHAnsi"/>
          <w:color w:val="000000" w:themeColor="text1"/>
          <w:sz w:val="21"/>
          <w:szCs w:val="21"/>
        </w:rPr>
        <w:endnoteRef/>
      </w:r>
      <w:r w:rsidRPr="0002472A">
        <w:rPr>
          <w:rFonts w:asciiTheme="minorHAnsi" w:hAnsiTheme="minorHAnsi"/>
          <w:color w:val="000000" w:themeColor="text1"/>
          <w:sz w:val="21"/>
          <w:szCs w:val="21"/>
        </w:rPr>
        <w:tab/>
      </w:r>
      <w:r w:rsidRPr="0002472A">
        <w:rPr>
          <w:rStyle w:val="Style1Char"/>
          <w:rFonts w:asciiTheme="minorHAnsi" w:hAnsiTheme="minorHAnsi"/>
          <w:color w:val="000000" w:themeColor="text1"/>
          <w:sz w:val="21"/>
          <w:szCs w:val="21"/>
        </w:rPr>
        <w:t>IA4_Board_of_Trustees_website.pdf</w:t>
      </w:r>
      <w:r>
        <w:rPr>
          <w:rStyle w:val="Style1Char"/>
          <w:rFonts w:asciiTheme="minorHAnsi" w:hAnsiTheme="minorHAnsi"/>
          <w:color w:val="000000" w:themeColor="text1"/>
          <w:sz w:val="21"/>
          <w:szCs w:val="21"/>
        </w:rPr>
        <w:t xml:space="preserve"> </w:t>
      </w:r>
    </w:p>
  </w:endnote>
  <w:endnote w:id="73">
    <w:p w14:paraId="5724922F" w14:textId="77777777" w:rsidR="0002472A" w:rsidRPr="000B28AC" w:rsidRDefault="0002472A" w:rsidP="0002472A">
      <w:pPr>
        <w:pStyle w:val="Style1"/>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IA4_Board_Policy_Manual_website.pdf</w:t>
      </w:r>
    </w:p>
  </w:endnote>
  <w:endnote w:id="74">
    <w:p w14:paraId="5DE1548A" w14:textId="5B22973B" w:rsidR="000E54D8" w:rsidRPr="000B28AC" w:rsidRDefault="000E54D8" w:rsidP="007F1214">
      <w:pPr>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r>
      <w:r w:rsidRPr="000B28AC">
        <w:rPr>
          <w:rStyle w:val="Style1Char"/>
          <w:rFonts w:asciiTheme="minorHAnsi" w:hAnsiTheme="minorHAnsi"/>
          <w:color w:val="000000" w:themeColor="text1"/>
          <w:sz w:val="21"/>
          <w:szCs w:val="21"/>
        </w:rPr>
        <w:t>IA4_College_Catalog_2015-2016.pdf</w:t>
      </w:r>
    </w:p>
  </w:endnote>
  <w:endnote w:id="75">
    <w:p w14:paraId="7EAB6024" w14:textId="5822AAF0"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IA4_SMC_In_Focus_Issue_5_10-16-2015.pdf</w:t>
      </w:r>
    </w:p>
  </w:endnote>
  <w:endnote w:id="76">
    <w:p w14:paraId="0DEAD454" w14:textId="5E049419" w:rsidR="000E54D8" w:rsidRPr="000B28AC" w:rsidRDefault="000E54D8" w:rsidP="007F1214">
      <w:pPr>
        <w:pStyle w:val="EndnoteText"/>
        <w:ind w:left="540" w:hanging="540"/>
        <w:rPr>
          <w:rFonts w:asciiTheme="minorHAnsi" w:hAnsiTheme="minorHAnsi"/>
          <w:color w:val="000000" w:themeColor="text1"/>
          <w:sz w:val="21"/>
          <w:szCs w:val="21"/>
        </w:rPr>
      </w:pPr>
      <w:r w:rsidRPr="000B28AC">
        <w:rPr>
          <w:rStyle w:val="EndnoteReference"/>
          <w:rFonts w:asciiTheme="minorHAnsi" w:hAnsiTheme="minorHAnsi"/>
          <w:color w:val="000000" w:themeColor="text1"/>
          <w:sz w:val="21"/>
          <w:szCs w:val="21"/>
        </w:rPr>
        <w:endnoteRef/>
      </w:r>
      <w:r w:rsidRPr="000B28AC">
        <w:rPr>
          <w:rFonts w:asciiTheme="minorHAnsi" w:hAnsiTheme="minorHAnsi"/>
          <w:color w:val="000000" w:themeColor="text1"/>
          <w:sz w:val="21"/>
          <w:szCs w:val="21"/>
        </w:rPr>
        <w:tab/>
        <w:t>IA1_BT_Minutes_4-7-2015_excerpt.pdf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iovanni-Book">
    <w:altName w:val="Cambria"/>
    <w:panose1 w:val="00000000000000000000"/>
    <w:charset w:val="4D"/>
    <w:family w:val="auto"/>
    <w:notTrueType/>
    <w:pitch w:val="default"/>
    <w:sig w:usb0="00000003" w:usb1="00000000" w:usb2="00000000" w:usb3="00000000" w:csb0="00000001" w:csb1="00000000"/>
  </w:font>
  <w:font w:name="Giovanni-Black">
    <w:altName w:val="Giovanni Book"/>
    <w:panose1 w:val="00000000000000000000"/>
    <w:charset w:val="4D"/>
    <w:family w:val="auto"/>
    <w:notTrueType/>
    <w:pitch w:val="default"/>
    <w:sig w:usb0="00000003" w:usb1="00000000" w:usb2="00000000" w:usb3="00000000" w:csb0="00000001" w:csb1="00000000"/>
  </w:font>
  <w:font w:name="Giovanni-BookItalic">
    <w:altName w:val="Giovanni Book"/>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8D47" w14:textId="57E8CF0E" w:rsidR="000E54D8" w:rsidRDefault="0040306F" w:rsidP="00F7337B">
    <w:pPr>
      <w:pStyle w:val="Footer"/>
      <w:pBdr>
        <w:top w:val="thinThickSmallGap" w:sz="24" w:space="0" w:color="4356E5"/>
      </w:pBdr>
      <w:tabs>
        <w:tab w:val="clear" w:pos="9360"/>
        <w:tab w:val="right" w:pos="9000"/>
      </w:tabs>
    </w:pPr>
    <w:sdt>
      <w:sdtPr>
        <w:id w:val="-1614751679"/>
        <w:docPartObj>
          <w:docPartGallery w:val="Page Numbers (Bottom of Page)"/>
          <w:docPartUnique/>
        </w:docPartObj>
      </w:sdtPr>
      <w:sdtEndPr/>
      <w:sdtContent>
        <w:r w:rsidR="000E54D8" w:rsidRPr="00E57C03">
          <w:rPr>
            <w:rFonts w:asciiTheme="minorHAnsi" w:hAnsiTheme="minorHAnsi"/>
          </w:rPr>
          <w:fldChar w:fldCharType="begin"/>
        </w:r>
        <w:r w:rsidR="000E54D8" w:rsidRPr="00E57C03">
          <w:rPr>
            <w:rFonts w:asciiTheme="minorHAnsi" w:hAnsiTheme="minorHAnsi"/>
          </w:rPr>
          <w:instrText xml:space="preserve"> PAGE   \* MERGEFORMAT </w:instrText>
        </w:r>
        <w:r w:rsidR="000E54D8" w:rsidRPr="00E57C03">
          <w:rPr>
            <w:rFonts w:asciiTheme="minorHAnsi" w:hAnsiTheme="minorHAnsi"/>
          </w:rPr>
          <w:fldChar w:fldCharType="separate"/>
        </w:r>
        <w:r w:rsidR="008F64BB">
          <w:rPr>
            <w:rFonts w:asciiTheme="minorHAnsi" w:hAnsiTheme="minorHAnsi"/>
            <w:noProof/>
          </w:rPr>
          <w:t>56</w:t>
        </w:r>
        <w:r w:rsidR="000E54D8" w:rsidRPr="00E57C03">
          <w:rPr>
            <w:rFonts w:asciiTheme="minorHAnsi" w:hAnsiTheme="minorHAnsi"/>
            <w:noProof/>
          </w:rPr>
          <w:fldChar w:fldCharType="end"/>
        </w:r>
        <w:r w:rsidR="000E54D8">
          <w:t xml:space="preserve"> </w:t>
        </w:r>
      </w:sdtContent>
    </w:sdt>
    <w:r w:rsidR="000E54D8" w:rsidRPr="00E57C03">
      <w:rPr>
        <w:rFonts w:asciiTheme="minorHAnsi" w:hAnsiTheme="minorHAnsi"/>
      </w:rPr>
      <w:t xml:space="preserve"> </w:t>
    </w:r>
    <w:r w:rsidR="000E54D8">
      <w:rPr>
        <w:rFonts w:asciiTheme="minorHAnsi" w:hAnsiTheme="minorHAnsi"/>
      </w:rPr>
      <w:tab/>
    </w:r>
    <w:r w:rsidR="000E54D8">
      <w:rPr>
        <w:rFonts w:asciiTheme="minorHAnsi" w:hAnsiTheme="minorHAnsi"/>
      </w:rPr>
      <w:tab/>
    </w:r>
    <w:r w:rsidR="000E54D8" w:rsidRPr="00E57C03">
      <w:rPr>
        <w:rFonts w:asciiTheme="minorHAnsi" w:hAnsiTheme="minorHAnsi"/>
      </w:rPr>
      <w:t xml:space="preserve">Santa Monica College </w:t>
    </w:r>
    <w:r w:rsidR="000E54D8">
      <w:rPr>
        <w:rFonts w:asciiTheme="minorHAnsi" w:hAnsiTheme="minorHAnsi"/>
      </w:rPr>
      <w:t>Self Evaluation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6CAC" w14:textId="7486C08D" w:rsidR="000E54D8" w:rsidRPr="00E57C03" w:rsidRDefault="0040306F" w:rsidP="00F7337B">
    <w:pPr>
      <w:pStyle w:val="Footer"/>
      <w:pBdr>
        <w:top w:val="thinThickSmallGap" w:sz="24" w:space="0" w:color="4356E5"/>
      </w:pBdr>
      <w:tabs>
        <w:tab w:val="clear" w:pos="9360"/>
        <w:tab w:val="right" w:pos="9000"/>
      </w:tabs>
    </w:pPr>
    <w:sdt>
      <w:sdtPr>
        <w:id w:val="-2034951781"/>
        <w:docPartObj>
          <w:docPartGallery w:val="Page Numbers (Bottom of Page)"/>
          <w:docPartUnique/>
        </w:docPartObj>
      </w:sdtPr>
      <w:sdtEndPr/>
      <w:sdtContent>
        <w:r w:rsidR="000E54D8" w:rsidRPr="00E57C03">
          <w:rPr>
            <w:rFonts w:asciiTheme="minorHAnsi" w:hAnsiTheme="minorHAnsi"/>
          </w:rPr>
          <w:t xml:space="preserve">Santa Monica College </w:t>
        </w:r>
        <w:r w:rsidR="000E54D8">
          <w:rPr>
            <w:rFonts w:asciiTheme="minorHAnsi" w:hAnsiTheme="minorHAnsi"/>
          </w:rPr>
          <w:t>Self Evaluation 2016</w:t>
        </w:r>
        <w:r w:rsidR="000E54D8">
          <w:rPr>
            <w:rFonts w:asciiTheme="minorHAnsi" w:hAnsiTheme="minorHAnsi"/>
          </w:rPr>
          <w:tab/>
        </w:r>
        <w:r w:rsidR="000E54D8">
          <w:rPr>
            <w:rFonts w:asciiTheme="minorHAnsi" w:hAnsiTheme="minorHAnsi"/>
          </w:rPr>
          <w:tab/>
        </w:r>
        <w:r w:rsidR="000E54D8" w:rsidRPr="00E57C03">
          <w:rPr>
            <w:rFonts w:asciiTheme="minorHAnsi" w:hAnsiTheme="minorHAnsi"/>
          </w:rPr>
          <w:fldChar w:fldCharType="begin"/>
        </w:r>
        <w:r w:rsidR="000E54D8" w:rsidRPr="00E57C03">
          <w:rPr>
            <w:rFonts w:asciiTheme="minorHAnsi" w:hAnsiTheme="minorHAnsi"/>
          </w:rPr>
          <w:instrText xml:space="preserve"> PAGE   \* MERGEFORMAT </w:instrText>
        </w:r>
        <w:r w:rsidR="000E54D8" w:rsidRPr="00E57C03">
          <w:rPr>
            <w:rFonts w:asciiTheme="minorHAnsi" w:hAnsiTheme="minorHAnsi"/>
          </w:rPr>
          <w:fldChar w:fldCharType="separate"/>
        </w:r>
        <w:r w:rsidR="008F64BB">
          <w:rPr>
            <w:rFonts w:asciiTheme="minorHAnsi" w:hAnsiTheme="minorHAnsi"/>
            <w:noProof/>
          </w:rPr>
          <w:t>55</w:t>
        </w:r>
        <w:r w:rsidR="000E54D8" w:rsidRPr="00E57C03">
          <w:rPr>
            <w:rFonts w:asciiTheme="minorHAnsi" w:hAnsiTheme="minorHAnsi"/>
            <w:noProof/>
          </w:rPr>
          <w:fldChar w:fldCharType="end"/>
        </w:r>
        <w:r w:rsidR="000E54D8">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BBF6C" w14:textId="77777777" w:rsidR="00944855" w:rsidRDefault="00944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128E2" w14:textId="77777777" w:rsidR="0040306F" w:rsidRDefault="0040306F" w:rsidP="007B132C">
      <w:r>
        <w:separator/>
      </w:r>
    </w:p>
  </w:footnote>
  <w:footnote w:type="continuationSeparator" w:id="0">
    <w:p w14:paraId="47A93AF2" w14:textId="77777777" w:rsidR="0040306F" w:rsidRDefault="0040306F" w:rsidP="007B132C">
      <w:r>
        <w:continuationSeparator/>
      </w:r>
    </w:p>
  </w:footnote>
  <w:footnote w:id="1">
    <w:p w14:paraId="1DB3B3C1" w14:textId="1236A831" w:rsidR="000E54D8" w:rsidRPr="00FD28E3" w:rsidRDefault="000E54D8">
      <w:pPr>
        <w:pStyle w:val="FootnoteText"/>
      </w:pPr>
      <w:r w:rsidRPr="000E54D8">
        <w:rPr>
          <w:rStyle w:val="FootnoteReference"/>
        </w:rPr>
        <w:footnoteRef/>
      </w:r>
      <w:r w:rsidRPr="000E54D8">
        <w:t xml:space="preserve"> The College’s most recent initiatives are GRIT (Growth/Resilience/Integrity/Tenacity) and I</w:t>
      </w:r>
      <w:r w:rsidRPr="000E54D8">
        <w:rPr>
          <w:vertAlign w:val="superscript"/>
        </w:rPr>
        <w:t xml:space="preserve">3 </w:t>
      </w:r>
      <w:r w:rsidRPr="000E54D8">
        <w:t>(Institutional Imagination Initiative).  These are described fully in Standard IA.3.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1934C" w14:textId="77777777" w:rsidR="00944855" w:rsidRDefault="00944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DC28E" w14:textId="77777777" w:rsidR="00944855" w:rsidRDefault="00944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15F0" w14:textId="77777777" w:rsidR="00944855" w:rsidRDefault="00944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5F75"/>
    <w:multiLevelType w:val="multilevel"/>
    <w:tmpl w:val="C8BA2DA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D2BF5"/>
    <w:multiLevelType w:val="hybridMultilevel"/>
    <w:tmpl w:val="0E00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A44ED"/>
    <w:multiLevelType w:val="hybridMultilevel"/>
    <w:tmpl w:val="260CE9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F60123"/>
    <w:multiLevelType w:val="hybridMultilevel"/>
    <w:tmpl w:val="AB62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10F0"/>
    <w:multiLevelType w:val="hybridMultilevel"/>
    <w:tmpl w:val="21CE45F0"/>
    <w:lvl w:ilvl="0" w:tplc="E290475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5A2D0D"/>
    <w:multiLevelType w:val="hybridMultilevel"/>
    <w:tmpl w:val="0446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778"/>
    <w:multiLevelType w:val="multilevel"/>
    <w:tmpl w:val="F7E6E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54AF"/>
    <w:multiLevelType w:val="hybridMultilevel"/>
    <w:tmpl w:val="034A8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91899"/>
    <w:multiLevelType w:val="hybridMultilevel"/>
    <w:tmpl w:val="BF94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31191"/>
    <w:multiLevelType w:val="multilevel"/>
    <w:tmpl w:val="D7C8A6A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Verdana" w:eastAsia="Times New Roman" w:hAnsi="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F38F6"/>
    <w:multiLevelType w:val="hybridMultilevel"/>
    <w:tmpl w:val="E62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C52B2"/>
    <w:multiLevelType w:val="hybridMultilevel"/>
    <w:tmpl w:val="9A1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45EF0"/>
    <w:multiLevelType w:val="hybridMultilevel"/>
    <w:tmpl w:val="DBB2CD62"/>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D03EF"/>
    <w:multiLevelType w:val="hybridMultilevel"/>
    <w:tmpl w:val="446C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8144C"/>
    <w:multiLevelType w:val="hybridMultilevel"/>
    <w:tmpl w:val="A96C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9135D"/>
    <w:multiLevelType w:val="hybridMultilevel"/>
    <w:tmpl w:val="176C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E47F0"/>
    <w:multiLevelType w:val="multilevel"/>
    <w:tmpl w:val="2C6A2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85991"/>
    <w:multiLevelType w:val="multilevel"/>
    <w:tmpl w:val="B384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E6436"/>
    <w:multiLevelType w:val="hybridMultilevel"/>
    <w:tmpl w:val="58F0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F7A9B"/>
    <w:multiLevelType w:val="multilevel"/>
    <w:tmpl w:val="4B78C3B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C1B4B"/>
    <w:multiLevelType w:val="hybridMultilevel"/>
    <w:tmpl w:val="968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B3B01"/>
    <w:multiLevelType w:val="hybridMultilevel"/>
    <w:tmpl w:val="CB168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49434C"/>
    <w:multiLevelType w:val="hybridMultilevel"/>
    <w:tmpl w:val="005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10DD2"/>
    <w:multiLevelType w:val="hybridMultilevel"/>
    <w:tmpl w:val="D5DC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620"/>
    <w:multiLevelType w:val="hybridMultilevel"/>
    <w:tmpl w:val="F96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3738F"/>
    <w:multiLevelType w:val="multilevel"/>
    <w:tmpl w:val="09F09E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DCE008F"/>
    <w:multiLevelType w:val="hybridMultilevel"/>
    <w:tmpl w:val="257A0556"/>
    <w:lvl w:ilvl="0" w:tplc="D9F64536">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71761"/>
    <w:multiLevelType w:val="hybridMultilevel"/>
    <w:tmpl w:val="4C90A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990668"/>
    <w:multiLevelType w:val="multilevel"/>
    <w:tmpl w:val="09F09E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34A5BEF"/>
    <w:multiLevelType w:val="hybridMultilevel"/>
    <w:tmpl w:val="70DE5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84144A"/>
    <w:multiLevelType w:val="hybridMultilevel"/>
    <w:tmpl w:val="136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B13BD"/>
    <w:multiLevelType w:val="hybridMultilevel"/>
    <w:tmpl w:val="E1A0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96386"/>
    <w:multiLevelType w:val="hybridMultilevel"/>
    <w:tmpl w:val="D756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673D7"/>
    <w:multiLevelType w:val="multilevel"/>
    <w:tmpl w:val="C84A7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E26B9"/>
    <w:multiLevelType w:val="multilevel"/>
    <w:tmpl w:val="1A8CA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778CE"/>
    <w:multiLevelType w:val="hybridMultilevel"/>
    <w:tmpl w:val="D77898E6"/>
    <w:lvl w:ilvl="0" w:tplc="756080E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38171E8"/>
    <w:multiLevelType w:val="hybridMultilevel"/>
    <w:tmpl w:val="5B00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1F86"/>
    <w:multiLevelType w:val="hybridMultilevel"/>
    <w:tmpl w:val="24AEB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33"/>
  </w:num>
  <w:num w:numId="3">
    <w:abstractNumId w:val="6"/>
  </w:num>
  <w:num w:numId="4">
    <w:abstractNumId w:val="34"/>
  </w:num>
  <w:num w:numId="5">
    <w:abstractNumId w:val="9"/>
  </w:num>
  <w:num w:numId="6">
    <w:abstractNumId w:val="17"/>
  </w:num>
  <w:num w:numId="7">
    <w:abstractNumId w:val="27"/>
  </w:num>
  <w:num w:numId="8">
    <w:abstractNumId w:val="1"/>
  </w:num>
  <w:num w:numId="9">
    <w:abstractNumId w:val="30"/>
  </w:num>
  <w:num w:numId="10">
    <w:abstractNumId w:val="35"/>
  </w:num>
  <w:num w:numId="11">
    <w:abstractNumId w:val="28"/>
  </w:num>
  <w:num w:numId="12">
    <w:abstractNumId w:val="37"/>
  </w:num>
  <w:num w:numId="13">
    <w:abstractNumId w:val="29"/>
  </w:num>
  <w:num w:numId="14">
    <w:abstractNumId w:val="8"/>
  </w:num>
  <w:num w:numId="15">
    <w:abstractNumId w:val="11"/>
  </w:num>
  <w:num w:numId="16">
    <w:abstractNumId w:val="23"/>
  </w:num>
  <w:num w:numId="17">
    <w:abstractNumId w:val="10"/>
  </w:num>
  <w:num w:numId="18">
    <w:abstractNumId w:val="13"/>
  </w:num>
  <w:num w:numId="19">
    <w:abstractNumId w:val="31"/>
  </w:num>
  <w:num w:numId="20">
    <w:abstractNumId w:val="4"/>
  </w:num>
  <w:num w:numId="21">
    <w:abstractNumId w:val="2"/>
  </w:num>
  <w:num w:numId="22">
    <w:abstractNumId w:val="12"/>
  </w:num>
  <w:num w:numId="23">
    <w:abstractNumId w:val="26"/>
  </w:num>
  <w:num w:numId="24">
    <w:abstractNumId w:val="20"/>
  </w:num>
  <w:num w:numId="25">
    <w:abstractNumId w:val="5"/>
  </w:num>
  <w:num w:numId="26">
    <w:abstractNumId w:val="15"/>
  </w:num>
  <w:num w:numId="27">
    <w:abstractNumId w:val="21"/>
  </w:num>
  <w:num w:numId="28">
    <w:abstractNumId w:val="7"/>
  </w:num>
  <w:num w:numId="29">
    <w:abstractNumId w:val="0"/>
  </w:num>
  <w:num w:numId="30">
    <w:abstractNumId w:val="3"/>
  </w:num>
  <w:num w:numId="31">
    <w:abstractNumId w:val="32"/>
  </w:num>
  <w:num w:numId="32">
    <w:abstractNumId w:val="22"/>
  </w:num>
  <w:num w:numId="33">
    <w:abstractNumId w:val="36"/>
  </w:num>
  <w:num w:numId="34">
    <w:abstractNumId w:val="24"/>
  </w:num>
  <w:num w:numId="35">
    <w:abstractNumId w:val="16"/>
  </w:num>
  <w:num w:numId="36">
    <w:abstractNumId w:val="14"/>
  </w:num>
  <w:num w:numId="37">
    <w:abstractNumId w:val="19"/>
  </w:num>
  <w:num w:numId="3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mirrorMargin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3A"/>
    <w:rsid w:val="00001278"/>
    <w:rsid w:val="00002CC6"/>
    <w:rsid w:val="000054AA"/>
    <w:rsid w:val="00010BA6"/>
    <w:rsid w:val="000128CB"/>
    <w:rsid w:val="00013003"/>
    <w:rsid w:val="00021790"/>
    <w:rsid w:val="000219E8"/>
    <w:rsid w:val="0002283B"/>
    <w:rsid w:val="00022AB9"/>
    <w:rsid w:val="00024267"/>
    <w:rsid w:val="0002472A"/>
    <w:rsid w:val="00024ED2"/>
    <w:rsid w:val="00027D5D"/>
    <w:rsid w:val="000300F6"/>
    <w:rsid w:val="0003210D"/>
    <w:rsid w:val="0003285B"/>
    <w:rsid w:val="000338BF"/>
    <w:rsid w:val="000349D5"/>
    <w:rsid w:val="00036536"/>
    <w:rsid w:val="00042745"/>
    <w:rsid w:val="00044333"/>
    <w:rsid w:val="0004491E"/>
    <w:rsid w:val="00050527"/>
    <w:rsid w:val="00050EC8"/>
    <w:rsid w:val="00054B0B"/>
    <w:rsid w:val="00054B28"/>
    <w:rsid w:val="0005634E"/>
    <w:rsid w:val="0006116B"/>
    <w:rsid w:val="0006162F"/>
    <w:rsid w:val="00064D95"/>
    <w:rsid w:val="000652BF"/>
    <w:rsid w:val="00065533"/>
    <w:rsid w:val="000664C6"/>
    <w:rsid w:val="00066EF8"/>
    <w:rsid w:val="00067F08"/>
    <w:rsid w:val="00070385"/>
    <w:rsid w:val="000742A0"/>
    <w:rsid w:val="00074F53"/>
    <w:rsid w:val="000804B8"/>
    <w:rsid w:val="0008081F"/>
    <w:rsid w:val="00082209"/>
    <w:rsid w:val="000831EB"/>
    <w:rsid w:val="0008377F"/>
    <w:rsid w:val="00083FF3"/>
    <w:rsid w:val="00085214"/>
    <w:rsid w:val="00085383"/>
    <w:rsid w:val="00086EC1"/>
    <w:rsid w:val="000877F1"/>
    <w:rsid w:val="00087EC7"/>
    <w:rsid w:val="00091BA0"/>
    <w:rsid w:val="00092497"/>
    <w:rsid w:val="00093E3D"/>
    <w:rsid w:val="000941D1"/>
    <w:rsid w:val="00096580"/>
    <w:rsid w:val="000974D1"/>
    <w:rsid w:val="000A0270"/>
    <w:rsid w:val="000A1954"/>
    <w:rsid w:val="000A2270"/>
    <w:rsid w:val="000A2C84"/>
    <w:rsid w:val="000A5788"/>
    <w:rsid w:val="000A6C0E"/>
    <w:rsid w:val="000B04B8"/>
    <w:rsid w:val="000B28AC"/>
    <w:rsid w:val="000B2A76"/>
    <w:rsid w:val="000B42BD"/>
    <w:rsid w:val="000C0A06"/>
    <w:rsid w:val="000C25E0"/>
    <w:rsid w:val="000C2820"/>
    <w:rsid w:val="000C632D"/>
    <w:rsid w:val="000D5837"/>
    <w:rsid w:val="000E0556"/>
    <w:rsid w:val="000E118F"/>
    <w:rsid w:val="000E181B"/>
    <w:rsid w:val="000E54D8"/>
    <w:rsid w:val="000E6C95"/>
    <w:rsid w:val="000F05FF"/>
    <w:rsid w:val="000F2F97"/>
    <w:rsid w:val="000F3488"/>
    <w:rsid w:val="000F4BF3"/>
    <w:rsid w:val="000F4D3A"/>
    <w:rsid w:val="000F7E3B"/>
    <w:rsid w:val="00100CA0"/>
    <w:rsid w:val="001011DE"/>
    <w:rsid w:val="001041D2"/>
    <w:rsid w:val="001045B2"/>
    <w:rsid w:val="00105BAD"/>
    <w:rsid w:val="00107337"/>
    <w:rsid w:val="00112947"/>
    <w:rsid w:val="00115B46"/>
    <w:rsid w:val="001162BD"/>
    <w:rsid w:val="00122F29"/>
    <w:rsid w:val="00124816"/>
    <w:rsid w:val="001267AB"/>
    <w:rsid w:val="00126998"/>
    <w:rsid w:val="00126D35"/>
    <w:rsid w:val="001270DA"/>
    <w:rsid w:val="00130798"/>
    <w:rsid w:val="00142E82"/>
    <w:rsid w:val="001444D4"/>
    <w:rsid w:val="00145227"/>
    <w:rsid w:val="00145261"/>
    <w:rsid w:val="00146393"/>
    <w:rsid w:val="00150BF6"/>
    <w:rsid w:val="0015375C"/>
    <w:rsid w:val="00153F6C"/>
    <w:rsid w:val="00154096"/>
    <w:rsid w:val="00155AF4"/>
    <w:rsid w:val="00155EA5"/>
    <w:rsid w:val="00157228"/>
    <w:rsid w:val="001639FA"/>
    <w:rsid w:val="00164D64"/>
    <w:rsid w:val="00167457"/>
    <w:rsid w:val="00167B0E"/>
    <w:rsid w:val="00170C3C"/>
    <w:rsid w:val="00171771"/>
    <w:rsid w:val="00171B08"/>
    <w:rsid w:val="001724E6"/>
    <w:rsid w:val="00172889"/>
    <w:rsid w:val="0017393E"/>
    <w:rsid w:val="00174FD6"/>
    <w:rsid w:val="00175F85"/>
    <w:rsid w:val="001777A8"/>
    <w:rsid w:val="00177A9F"/>
    <w:rsid w:val="0018033F"/>
    <w:rsid w:val="00185F6E"/>
    <w:rsid w:val="00191794"/>
    <w:rsid w:val="00193DE9"/>
    <w:rsid w:val="00193EAE"/>
    <w:rsid w:val="00194284"/>
    <w:rsid w:val="0019588E"/>
    <w:rsid w:val="001975B1"/>
    <w:rsid w:val="001979CE"/>
    <w:rsid w:val="001A507C"/>
    <w:rsid w:val="001A6830"/>
    <w:rsid w:val="001B3E27"/>
    <w:rsid w:val="001B488C"/>
    <w:rsid w:val="001B4E6C"/>
    <w:rsid w:val="001B728E"/>
    <w:rsid w:val="001C0410"/>
    <w:rsid w:val="001C21D0"/>
    <w:rsid w:val="001D0003"/>
    <w:rsid w:val="001D153B"/>
    <w:rsid w:val="001D286C"/>
    <w:rsid w:val="001D3A99"/>
    <w:rsid w:val="001D4345"/>
    <w:rsid w:val="001D710B"/>
    <w:rsid w:val="001E081F"/>
    <w:rsid w:val="001E19B2"/>
    <w:rsid w:val="001E6C28"/>
    <w:rsid w:val="001E6D6B"/>
    <w:rsid w:val="001F0BA8"/>
    <w:rsid w:val="001F0E98"/>
    <w:rsid w:val="001F2808"/>
    <w:rsid w:val="001F54E1"/>
    <w:rsid w:val="00210023"/>
    <w:rsid w:val="00210593"/>
    <w:rsid w:val="002106EF"/>
    <w:rsid w:val="00210EA6"/>
    <w:rsid w:val="00220B2A"/>
    <w:rsid w:val="0022313D"/>
    <w:rsid w:val="00223CE9"/>
    <w:rsid w:val="002256AE"/>
    <w:rsid w:val="00226177"/>
    <w:rsid w:val="00226B23"/>
    <w:rsid w:val="00226DEC"/>
    <w:rsid w:val="00230B18"/>
    <w:rsid w:val="002313D0"/>
    <w:rsid w:val="002329F8"/>
    <w:rsid w:val="00236738"/>
    <w:rsid w:val="002368DA"/>
    <w:rsid w:val="00236A66"/>
    <w:rsid w:val="00236B64"/>
    <w:rsid w:val="002408D4"/>
    <w:rsid w:val="0024157D"/>
    <w:rsid w:val="0024302B"/>
    <w:rsid w:val="00243B3B"/>
    <w:rsid w:val="002442DF"/>
    <w:rsid w:val="002453FD"/>
    <w:rsid w:val="00250E80"/>
    <w:rsid w:val="002538C6"/>
    <w:rsid w:val="002548D0"/>
    <w:rsid w:val="002627A5"/>
    <w:rsid w:val="00265658"/>
    <w:rsid w:val="00274D03"/>
    <w:rsid w:val="0027611F"/>
    <w:rsid w:val="00277D8F"/>
    <w:rsid w:val="002815B3"/>
    <w:rsid w:val="00282868"/>
    <w:rsid w:val="00285EB3"/>
    <w:rsid w:val="00286330"/>
    <w:rsid w:val="0028659F"/>
    <w:rsid w:val="002866CF"/>
    <w:rsid w:val="00292AE9"/>
    <w:rsid w:val="00295464"/>
    <w:rsid w:val="0029765D"/>
    <w:rsid w:val="002A2CAC"/>
    <w:rsid w:val="002A5081"/>
    <w:rsid w:val="002A5839"/>
    <w:rsid w:val="002A6CCF"/>
    <w:rsid w:val="002A7F02"/>
    <w:rsid w:val="002B266D"/>
    <w:rsid w:val="002B4368"/>
    <w:rsid w:val="002B5B47"/>
    <w:rsid w:val="002C0CE5"/>
    <w:rsid w:val="002C2AEF"/>
    <w:rsid w:val="002C2D46"/>
    <w:rsid w:val="002C7CFE"/>
    <w:rsid w:val="002D1EA5"/>
    <w:rsid w:val="002D2166"/>
    <w:rsid w:val="002D543E"/>
    <w:rsid w:val="002D5B56"/>
    <w:rsid w:val="002D63AF"/>
    <w:rsid w:val="002D6A2B"/>
    <w:rsid w:val="002D7154"/>
    <w:rsid w:val="002E44EA"/>
    <w:rsid w:val="002E507A"/>
    <w:rsid w:val="002E5258"/>
    <w:rsid w:val="002E625C"/>
    <w:rsid w:val="002E7817"/>
    <w:rsid w:val="002F02EB"/>
    <w:rsid w:val="002F3444"/>
    <w:rsid w:val="00303AE9"/>
    <w:rsid w:val="003059A2"/>
    <w:rsid w:val="00305DC4"/>
    <w:rsid w:val="00312E28"/>
    <w:rsid w:val="0031311E"/>
    <w:rsid w:val="00314A85"/>
    <w:rsid w:val="0031700C"/>
    <w:rsid w:val="00317DF9"/>
    <w:rsid w:val="00321949"/>
    <w:rsid w:val="00322BEE"/>
    <w:rsid w:val="003236B5"/>
    <w:rsid w:val="003239DF"/>
    <w:rsid w:val="00323D79"/>
    <w:rsid w:val="00323F92"/>
    <w:rsid w:val="00325229"/>
    <w:rsid w:val="00326EDD"/>
    <w:rsid w:val="00327B9A"/>
    <w:rsid w:val="00331A99"/>
    <w:rsid w:val="003331C3"/>
    <w:rsid w:val="00335E8D"/>
    <w:rsid w:val="003407BB"/>
    <w:rsid w:val="00343A41"/>
    <w:rsid w:val="00344BA2"/>
    <w:rsid w:val="00345435"/>
    <w:rsid w:val="0034599D"/>
    <w:rsid w:val="00347510"/>
    <w:rsid w:val="003476A6"/>
    <w:rsid w:val="00347C1F"/>
    <w:rsid w:val="003609C5"/>
    <w:rsid w:val="00361E13"/>
    <w:rsid w:val="00362945"/>
    <w:rsid w:val="00362CAB"/>
    <w:rsid w:val="00363AEA"/>
    <w:rsid w:val="00363E27"/>
    <w:rsid w:val="00367423"/>
    <w:rsid w:val="003744A0"/>
    <w:rsid w:val="00375573"/>
    <w:rsid w:val="003828FE"/>
    <w:rsid w:val="00385F5D"/>
    <w:rsid w:val="0038749B"/>
    <w:rsid w:val="00392E37"/>
    <w:rsid w:val="003944AD"/>
    <w:rsid w:val="00397531"/>
    <w:rsid w:val="003A08C9"/>
    <w:rsid w:val="003A1B96"/>
    <w:rsid w:val="003A3065"/>
    <w:rsid w:val="003A3F4F"/>
    <w:rsid w:val="003A69BB"/>
    <w:rsid w:val="003B0155"/>
    <w:rsid w:val="003B3080"/>
    <w:rsid w:val="003B4E01"/>
    <w:rsid w:val="003B6952"/>
    <w:rsid w:val="003C2850"/>
    <w:rsid w:val="003C3EE5"/>
    <w:rsid w:val="003C5633"/>
    <w:rsid w:val="003C76D2"/>
    <w:rsid w:val="003D0191"/>
    <w:rsid w:val="003D118E"/>
    <w:rsid w:val="003D223A"/>
    <w:rsid w:val="003D2D10"/>
    <w:rsid w:val="003D317C"/>
    <w:rsid w:val="003D3A24"/>
    <w:rsid w:val="003D4D36"/>
    <w:rsid w:val="003D5238"/>
    <w:rsid w:val="003D6580"/>
    <w:rsid w:val="003D6F33"/>
    <w:rsid w:val="003E0AEF"/>
    <w:rsid w:val="003E21B9"/>
    <w:rsid w:val="003E32C7"/>
    <w:rsid w:val="003E381A"/>
    <w:rsid w:val="003E5EA7"/>
    <w:rsid w:val="003F06F1"/>
    <w:rsid w:val="003F1A5A"/>
    <w:rsid w:val="003F3C5A"/>
    <w:rsid w:val="003F3FFD"/>
    <w:rsid w:val="003F5314"/>
    <w:rsid w:val="003F5E62"/>
    <w:rsid w:val="00400BE7"/>
    <w:rsid w:val="00401044"/>
    <w:rsid w:val="0040306F"/>
    <w:rsid w:val="00404F28"/>
    <w:rsid w:val="00405480"/>
    <w:rsid w:val="00416CEF"/>
    <w:rsid w:val="00422433"/>
    <w:rsid w:val="00422AC9"/>
    <w:rsid w:val="004237F6"/>
    <w:rsid w:val="0043026A"/>
    <w:rsid w:val="004313F7"/>
    <w:rsid w:val="004318B7"/>
    <w:rsid w:val="004443D1"/>
    <w:rsid w:val="00444511"/>
    <w:rsid w:val="00446183"/>
    <w:rsid w:val="004471C9"/>
    <w:rsid w:val="00447A52"/>
    <w:rsid w:val="00450B55"/>
    <w:rsid w:val="00450C93"/>
    <w:rsid w:val="00456FD0"/>
    <w:rsid w:val="00457074"/>
    <w:rsid w:val="00461004"/>
    <w:rsid w:val="004643E3"/>
    <w:rsid w:val="0046466B"/>
    <w:rsid w:val="00467A01"/>
    <w:rsid w:val="004725A0"/>
    <w:rsid w:val="00474D1A"/>
    <w:rsid w:val="004762F3"/>
    <w:rsid w:val="00476B78"/>
    <w:rsid w:val="00477BFC"/>
    <w:rsid w:val="004831BE"/>
    <w:rsid w:val="0048561E"/>
    <w:rsid w:val="00485D39"/>
    <w:rsid w:val="00486C74"/>
    <w:rsid w:val="00497267"/>
    <w:rsid w:val="004B0127"/>
    <w:rsid w:val="004B14A1"/>
    <w:rsid w:val="004B372B"/>
    <w:rsid w:val="004B43EB"/>
    <w:rsid w:val="004B5F04"/>
    <w:rsid w:val="004C19BF"/>
    <w:rsid w:val="004C1AEB"/>
    <w:rsid w:val="004C35D9"/>
    <w:rsid w:val="004C564D"/>
    <w:rsid w:val="004C57C0"/>
    <w:rsid w:val="004D35B6"/>
    <w:rsid w:val="004D5362"/>
    <w:rsid w:val="004E091E"/>
    <w:rsid w:val="004E1A35"/>
    <w:rsid w:val="004E24E8"/>
    <w:rsid w:val="004E2C8D"/>
    <w:rsid w:val="004E4FE9"/>
    <w:rsid w:val="004E6772"/>
    <w:rsid w:val="004E6E60"/>
    <w:rsid w:val="004E747A"/>
    <w:rsid w:val="004E7D01"/>
    <w:rsid w:val="004F2714"/>
    <w:rsid w:val="004F3B94"/>
    <w:rsid w:val="004F48C5"/>
    <w:rsid w:val="004F5973"/>
    <w:rsid w:val="004F5E08"/>
    <w:rsid w:val="00500E5F"/>
    <w:rsid w:val="005026A3"/>
    <w:rsid w:val="0050537A"/>
    <w:rsid w:val="00507579"/>
    <w:rsid w:val="00510845"/>
    <w:rsid w:val="00511672"/>
    <w:rsid w:val="005123DF"/>
    <w:rsid w:val="005134A4"/>
    <w:rsid w:val="00513AB1"/>
    <w:rsid w:val="00514505"/>
    <w:rsid w:val="0051455D"/>
    <w:rsid w:val="00515FC9"/>
    <w:rsid w:val="005160A2"/>
    <w:rsid w:val="00522AEA"/>
    <w:rsid w:val="0052335C"/>
    <w:rsid w:val="00525354"/>
    <w:rsid w:val="00526B67"/>
    <w:rsid w:val="00526FCF"/>
    <w:rsid w:val="005302D8"/>
    <w:rsid w:val="0053467B"/>
    <w:rsid w:val="00534DFC"/>
    <w:rsid w:val="0054000E"/>
    <w:rsid w:val="0054260B"/>
    <w:rsid w:val="005437F4"/>
    <w:rsid w:val="00544251"/>
    <w:rsid w:val="005542C7"/>
    <w:rsid w:val="00555F36"/>
    <w:rsid w:val="00560766"/>
    <w:rsid w:val="00566552"/>
    <w:rsid w:val="00566722"/>
    <w:rsid w:val="00567685"/>
    <w:rsid w:val="00573DA9"/>
    <w:rsid w:val="0057488A"/>
    <w:rsid w:val="005766AC"/>
    <w:rsid w:val="00581640"/>
    <w:rsid w:val="005818A0"/>
    <w:rsid w:val="00581D09"/>
    <w:rsid w:val="00590876"/>
    <w:rsid w:val="00592FB9"/>
    <w:rsid w:val="005935BD"/>
    <w:rsid w:val="0059743A"/>
    <w:rsid w:val="005B2EED"/>
    <w:rsid w:val="005B3F23"/>
    <w:rsid w:val="005B6612"/>
    <w:rsid w:val="005B6620"/>
    <w:rsid w:val="005B7699"/>
    <w:rsid w:val="005C2ADA"/>
    <w:rsid w:val="005C43FC"/>
    <w:rsid w:val="005C6C68"/>
    <w:rsid w:val="005C729A"/>
    <w:rsid w:val="005D1537"/>
    <w:rsid w:val="005D6E26"/>
    <w:rsid w:val="005E0D97"/>
    <w:rsid w:val="005E1858"/>
    <w:rsid w:val="005E4432"/>
    <w:rsid w:val="005E5B4F"/>
    <w:rsid w:val="005E5FE4"/>
    <w:rsid w:val="005E631B"/>
    <w:rsid w:val="005E74AF"/>
    <w:rsid w:val="005F0C30"/>
    <w:rsid w:val="005F1506"/>
    <w:rsid w:val="005F1F6D"/>
    <w:rsid w:val="005F71BE"/>
    <w:rsid w:val="00601807"/>
    <w:rsid w:val="00601CF4"/>
    <w:rsid w:val="006047B3"/>
    <w:rsid w:val="00605291"/>
    <w:rsid w:val="006055E3"/>
    <w:rsid w:val="006078FA"/>
    <w:rsid w:val="006079D0"/>
    <w:rsid w:val="00607AF9"/>
    <w:rsid w:val="00610AE7"/>
    <w:rsid w:val="00616E02"/>
    <w:rsid w:val="00621E33"/>
    <w:rsid w:val="006221D5"/>
    <w:rsid w:val="006234A7"/>
    <w:rsid w:val="006241E0"/>
    <w:rsid w:val="006247AB"/>
    <w:rsid w:val="00627C28"/>
    <w:rsid w:val="00631686"/>
    <w:rsid w:val="0063174C"/>
    <w:rsid w:val="00632D7D"/>
    <w:rsid w:val="00634985"/>
    <w:rsid w:val="00634C5A"/>
    <w:rsid w:val="0063586E"/>
    <w:rsid w:val="00635D8D"/>
    <w:rsid w:val="00635ECE"/>
    <w:rsid w:val="006373C7"/>
    <w:rsid w:val="0066048F"/>
    <w:rsid w:val="00660575"/>
    <w:rsid w:val="00662DC5"/>
    <w:rsid w:val="006632C5"/>
    <w:rsid w:val="00663F7B"/>
    <w:rsid w:val="00666569"/>
    <w:rsid w:val="006679B7"/>
    <w:rsid w:val="0067263D"/>
    <w:rsid w:val="006766FC"/>
    <w:rsid w:val="0068076C"/>
    <w:rsid w:val="00680E92"/>
    <w:rsid w:val="00681B92"/>
    <w:rsid w:val="00682A4A"/>
    <w:rsid w:val="00682BF6"/>
    <w:rsid w:val="00683D95"/>
    <w:rsid w:val="0068642B"/>
    <w:rsid w:val="00691BA4"/>
    <w:rsid w:val="00695591"/>
    <w:rsid w:val="00696ECB"/>
    <w:rsid w:val="006A14B7"/>
    <w:rsid w:val="006A3FEE"/>
    <w:rsid w:val="006B066E"/>
    <w:rsid w:val="006B0821"/>
    <w:rsid w:val="006B095D"/>
    <w:rsid w:val="006B31AC"/>
    <w:rsid w:val="006B3CB7"/>
    <w:rsid w:val="006B7C4E"/>
    <w:rsid w:val="006C52A9"/>
    <w:rsid w:val="006C5988"/>
    <w:rsid w:val="006C7831"/>
    <w:rsid w:val="006D0AAC"/>
    <w:rsid w:val="006D1D17"/>
    <w:rsid w:val="006D1FC5"/>
    <w:rsid w:val="006D70CD"/>
    <w:rsid w:val="006E169B"/>
    <w:rsid w:val="006E3467"/>
    <w:rsid w:val="006E3669"/>
    <w:rsid w:val="006E4C54"/>
    <w:rsid w:val="006E5C00"/>
    <w:rsid w:val="006E7A5E"/>
    <w:rsid w:val="006F13FB"/>
    <w:rsid w:val="006F1F0B"/>
    <w:rsid w:val="006F6299"/>
    <w:rsid w:val="006F67CB"/>
    <w:rsid w:val="006F7F87"/>
    <w:rsid w:val="00702995"/>
    <w:rsid w:val="00706D2D"/>
    <w:rsid w:val="007137F2"/>
    <w:rsid w:val="00715122"/>
    <w:rsid w:val="00716BEF"/>
    <w:rsid w:val="0071715F"/>
    <w:rsid w:val="00720B75"/>
    <w:rsid w:val="00723D7C"/>
    <w:rsid w:val="00723E56"/>
    <w:rsid w:val="0072634F"/>
    <w:rsid w:val="00732473"/>
    <w:rsid w:val="007330CD"/>
    <w:rsid w:val="00733240"/>
    <w:rsid w:val="00734B84"/>
    <w:rsid w:val="007411F3"/>
    <w:rsid w:val="0074271A"/>
    <w:rsid w:val="0074302E"/>
    <w:rsid w:val="00743F6D"/>
    <w:rsid w:val="007443F5"/>
    <w:rsid w:val="007444F2"/>
    <w:rsid w:val="00746716"/>
    <w:rsid w:val="007508FB"/>
    <w:rsid w:val="00750A43"/>
    <w:rsid w:val="00750B89"/>
    <w:rsid w:val="00753DCB"/>
    <w:rsid w:val="00753FFD"/>
    <w:rsid w:val="00755F7C"/>
    <w:rsid w:val="0075662D"/>
    <w:rsid w:val="00756AFC"/>
    <w:rsid w:val="00763372"/>
    <w:rsid w:val="00763634"/>
    <w:rsid w:val="00763B77"/>
    <w:rsid w:val="00763DB7"/>
    <w:rsid w:val="00766384"/>
    <w:rsid w:val="00767238"/>
    <w:rsid w:val="0077168E"/>
    <w:rsid w:val="007812BB"/>
    <w:rsid w:val="00781707"/>
    <w:rsid w:val="00781B93"/>
    <w:rsid w:val="00782B23"/>
    <w:rsid w:val="007836D3"/>
    <w:rsid w:val="00784497"/>
    <w:rsid w:val="00790432"/>
    <w:rsid w:val="00791EAB"/>
    <w:rsid w:val="00792070"/>
    <w:rsid w:val="00794F52"/>
    <w:rsid w:val="00795F51"/>
    <w:rsid w:val="00796415"/>
    <w:rsid w:val="007970C7"/>
    <w:rsid w:val="00797F37"/>
    <w:rsid w:val="007A1051"/>
    <w:rsid w:val="007A11B6"/>
    <w:rsid w:val="007A2153"/>
    <w:rsid w:val="007A25CF"/>
    <w:rsid w:val="007A442D"/>
    <w:rsid w:val="007B132C"/>
    <w:rsid w:val="007B1364"/>
    <w:rsid w:val="007B2015"/>
    <w:rsid w:val="007B373A"/>
    <w:rsid w:val="007B5312"/>
    <w:rsid w:val="007B7D50"/>
    <w:rsid w:val="007B7FAA"/>
    <w:rsid w:val="007C0D26"/>
    <w:rsid w:val="007C182B"/>
    <w:rsid w:val="007C359D"/>
    <w:rsid w:val="007C445E"/>
    <w:rsid w:val="007C6808"/>
    <w:rsid w:val="007C750B"/>
    <w:rsid w:val="007D02D2"/>
    <w:rsid w:val="007D0C05"/>
    <w:rsid w:val="007D28FC"/>
    <w:rsid w:val="007D4E95"/>
    <w:rsid w:val="007D5FC2"/>
    <w:rsid w:val="007E2902"/>
    <w:rsid w:val="007E460B"/>
    <w:rsid w:val="007F1214"/>
    <w:rsid w:val="007F4027"/>
    <w:rsid w:val="007F6B65"/>
    <w:rsid w:val="007F7F2C"/>
    <w:rsid w:val="00801AAC"/>
    <w:rsid w:val="00801EA7"/>
    <w:rsid w:val="0080352A"/>
    <w:rsid w:val="00805915"/>
    <w:rsid w:val="00806B4A"/>
    <w:rsid w:val="0080726D"/>
    <w:rsid w:val="0081221E"/>
    <w:rsid w:val="00812769"/>
    <w:rsid w:val="0081514F"/>
    <w:rsid w:val="008179C7"/>
    <w:rsid w:val="00820B04"/>
    <w:rsid w:val="00820CC7"/>
    <w:rsid w:val="0082115B"/>
    <w:rsid w:val="008234BE"/>
    <w:rsid w:val="00824D5B"/>
    <w:rsid w:val="00825EA6"/>
    <w:rsid w:val="008272C1"/>
    <w:rsid w:val="00832367"/>
    <w:rsid w:val="00833E14"/>
    <w:rsid w:val="00835C66"/>
    <w:rsid w:val="00835C8F"/>
    <w:rsid w:val="00835D09"/>
    <w:rsid w:val="00837006"/>
    <w:rsid w:val="008406A7"/>
    <w:rsid w:val="008423B6"/>
    <w:rsid w:val="008427D3"/>
    <w:rsid w:val="00842B5D"/>
    <w:rsid w:val="00843D6F"/>
    <w:rsid w:val="008470C8"/>
    <w:rsid w:val="008470CE"/>
    <w:rsid w:val="008474FE"/>
    <w:rsid w:val="00850A9C"/>
    <w:rsid w:val="00850D10"/>
    <w:rsid w:val="00851DB3"/>
    <w:rsid w:val="00860DE8"/>
    <w:rsid w:val="00863246"/>
    <w:rsid w:val="00863D58"/>
    <w:rsid w:val="00866E99"/>
    <w:rsid w:val="0087447B"/>
    <w:rsid w:val="00874A57"/>
    <w:rsid w:val="00876802"/>
    <w:rsid w:val="00881884"/>
    <w:rsid w:val="00882918"/>
    <w:rsid w:val="00882AB3"/>
    <w:rsid w:val="008843E8"/>
    <w:rsid w:val="00885C07"/>
    <w:rsid w:val="00887AEB"/>
    <w:rsid w:val="00890315"/>
    <w:rsid w:val="00893EC4"/>
    <w:rsid w:val="00895680"/>
    <w:rsid w:val="008A05CF"/>
    <w:rsid w:val="008A1315"/>
    <w:rsid w:val="008A7DEC"/>
    <w:rsid w:val="008B2BA2"/>
    <w:rsid w:val="008B516D"/>
    <w:rsid w:val="008B7F5D"/>
    <w:rsid w:val="008C092A"/>
    <w:rsid w:val="008C34CA"/>
    <w:rsid w:val="008C3632"/>
    <w:rsid w:val="008C4450"/>
    <w:rsid w:val="008C7081"/>
    <w:rsid w:val="008D460E"/>
    <w:rsid w:val="008D489C"/>
    <w:rsid w:val="008E190E"/>
    <w:rsid w:val="008E28F1"/>
    <w:rsid w:val="008E3EA3"/>
    <w:rsid w:val="008E590D"/>
    <w:rsid w:val="008E63C8"/>
    <w:rsid w:val="008E6BB6"/>
    <w:rsid w:val="008E73F1"/>
    <w:rsid w:val="008F0571"/>
    <w:rsid w:val="008F0BF9"/>
    <w:rsid w:val="008F2B29"/>
    <w:rsid w:val="008F4412"/>
    <w:rsid w:val="008F4DB1"/>
    <w:rsid w:val="008F5677"/>
    <w:rsid w:val="008F5CA8"/>
    <w:rsid w:val="008F64BB"/>
    <w:rsid w:val="00901984"/>
    <w:rsid w:val="00902D62"/>
    <w:rsid w:val="009040A9"/>
    <w:rsid w:val="00904808"/>
    <w:rsid w:val="00915714"/>
    <w:rsid w:val="00916ADC"/>
    <w:rsid w:val="00920D74"/>
    <w:rsid w:val="00921A01"/>
    <w:rsid w:val="00921B6F"/>
    <w:rsid w:val="00926D86"/>
    <w:rsid w:val="0093304E"/>
    <w:rsid w:val="00933690"/>
    <w:rsid w:val="009336CC"/>
    <w:rsid w:val="00941A8E"/>
    <w:rsid w:val="00943731"/>
    <w:rsid w:val="009439C8"/>
    <w:rsid w:val="00944325"/>
    <w:rsid w:val="00944563"/>
    <w:rsid w:val="00944855"/>
    <w:rsid w:val="00950FB8"/>
    <w:rsid w:val="0095534F"/>
    <w:rsid w:val="009564C4"/>
    <w:rsid w:val="00956A97"/>
    <w:rsid w:val="009621DA"/>
    <w:rsid w:val="009650E3"/>
    <w:rsid w:val="00966D1D"/>
    <w:rsid w:val="00967E21"/>
    <w:rsid w:val="009717F6"/>
    <w:rsid w:val="00977CF2"/>
    <w:rsid w:val="00977D13"/>
    <w:rsid w:val="0098147F"/>
    <w:rsid w:val="00981AA4"/>
    <w:rsid w:val="00983969"/>
    <w:rsid w:val="00984448"/>
    <w:rsid w:val="00987765"/>
    <w:rsid w:val="00987A2A"/>
    <w:rsid w:val="00990C69"/>
    <w:rsid w:val="00993FE7"/>
    <w:rsid w:val="009A2529"/>
    <w:rsid w:val="009A2732"/>
    <w:rsid w:val="009A62BB"/>
    <w:rsid w:val="009B0E7D"/>
    <w:rsid w:val="009B16B1"/>
    <w:rsid w:val="009B187D"/>
    <w:rsid w:val="009B1994"/>
    <w:rsid w:val="009C01F0"/>
    <w:rsid w:val="009C237F"/>
    <w:rsid w:val="009C2982"/>
    <w:rsid w:val="009C41EB"/>
    <w:rsid w:val="009D126A"/>
    <w:rsid w:val="009D5CAE"/>
    <w:rsid w:val="009D7AA5"/>
    <w:rsid w:val="009D7B11"/>
    <w:rsid w:val="009E169D"/>
    <w:rsid w:val="009E3E23"/>
    <w:rsid w:val="009E6148"/>
    <w:rsid w:val="009F01FC"/>
    <w:rsid w:val="009F2082"/>
    <w:rsid w:val="00A0242D"/>
    <w:rsid w:val="00A04A35"/>
    <w:rsid w:val="00A0548C"/>
    <w:rsid w:val="00A07845"/>
    <w:rsid w:val="00A07957"/>
    <w:rsid w:val="00A112DF"/>
    <w:rsid w:val="00A119B2"/>
    <w:rsid w:val="00A15002"/>
    <w:rsid w:val="00A16185"/>
    <w:rsid w:val="00A2030D"/>
    <w:rsid w:val="00A209C9"/>
    <w:rsid w:val="00A20CC5"/>
    <w:rsid w:val="00A2124D"/>
    <w:rsid w:val="00A23196"/>
    <w:rsid w:val="00A241C3"/>
    <w:rsid w:val="00A2428E"/>
    <w:rsid w:val="00A24DB7"/>
    <w:rsid w:val="00A27091"/>
    <w:rsid w:val="00A307CE"/>
    <w:rsid w:val="00A30875"/>
    <w:rsid w:val="00A3165D"/>
    <w:rsid w:val="00A33553"/>
    <w:rsid w:val="00A33616"/>
    <w:rsid w:val="00A33D05"/>
    <w:rsid w:val="00A34B85"/>
    <w:rsid w:val="00A35645"/>
    <w:rsid w:val="00A365D3"/>
    <w:rsid w:val="00A404C6"/>
    <w:rsid w:val="00A404CD"/>
    <w:rsid w:val="00A40942"/>
    <w:rsid w:val="00A4319D"/>
    <w:rsid w:val="00A45DBC"/>
    <w:rsid w:val="00A46BD7"/>
    <w:rsid w:val="00A512A5"/>
    <w:rsid w:val="00A51A04"/>
    <w:rsid w:val="00A51C73"/>
    <w:rsid w:val="00A520DD"/>
    <w:rsid w:val="00A535B6"/>
    <w:rsid w:val="00A55199"/>
    <w:rsid w:val="00A561F9"/>
    <w:rsid w:val="00A60CB3"/>
    <w:rsid w:val="00A65C65"/>
    <w:rsid w:val="00A65EC6"/>
    <w:rsid w:val="00A71030"/>
    <w:rsid w:val="00A71E28"/>
    <w:rsid w:val="00A74E90"/>
    <w:rsid w:val="00A77581"/>
    <w:rsid w:val="00A80F70"/>
    <w:rsid w:val="00A8180C"/>
    <w:rsid w:val="00A84277"/>
    <w:rsid w:val="00A8715B"/>
    <w:rsid w:val="00A905FC"/>
    <w:rsid w:val="00A9063C"/>
    <w:rsid w:val="00A92A9D"/>
    <w:rsid w:val="00A93AD8"/>
    <w:rsid w:val="00A94EAE"/>
    <w:rsid w:val="00AA0120"/>
    <w:rsid w:val="00AA628F"/>
    <w:rsid w:val="00AB3DC4"/>
    <w:rsid w:val="00AB58F6"/>
    <w:rsid w:val="00AB7548"/>
    <w:rsid w:val="00AB7FA9"/>
    <w:rsid w:val="00AC0714"/>
    <w:rsid w:val="00AC11E2"/>
    <w:rsid w:val="00AC24CF"/>
    <w:rsid w:val="00AC4AB1"/>
    <w:rsid w:val="00AC4FBC"/>
    <w:rsid w:val="00AC7382"/>
    <w:rsid w:val="00AD1B15"/>
    <w:rsid w:val="00AD24E3"/>
    <w:rsid w:val="00AD26C7"/>
    <w:rsid w:val="00AD5217"/>
    <w:rsid w:val="00AD651C"/>
    <w:rsid w:val="00AD7018"/>
    <w:rsid w:val="00AE0F79"/>
    <w:rsid w:val="00AE10BC"/>
    <w:rsid w:val="00AE33D9"/>
    <w:rsid w:val="00AE5435"/>
    <w:rsid w:val="00AE6824"/>
    <w:rsid w:val="00AE7587"/>
    <w:rsid w:val="00AF40C1"/>
    <w:rsid w:val="00B007C9"/>
    <w:rsid w:val="00B02C92"/>
    <w:rsid w:val="00B03429"/>
    <w:rsid w:val="00B0489C"/>
    <w:rsid w:val="00B11571"/>
    <w:rsid w:val="00B12847"/>
    <w:rsid w:val="00B1465E"/>
    <w:rsid w:val="00B16234"/>
    <w:rsid w:val="00B17AAE"/>
    <w:rsid w:val="00B17F7A"/>
    <w:rsid w:val="00B201A3"/>
    <w:rsid w:val="00B2256C"/>
    <w:rsid w:val="00B237B7"/>
    <w:rsid w:val="00B25051"/>
    <w:rsid w:val="00B25802"/>
    <w:rsid w:val="00B30BCD"/>
    <w:rsid w:val="00B30ED7"/>
    <w:rsid w:val="00B33E36"/>
    <w:rsid w:val="00B35E07"/>
    <w:rsid w:val="00B35E2F"/>
    <w:rsid w:val="00B36BE1"/>
    <w:rsid w:val="00B41F76"/>
    <w:rsid w:val="00B44E46"/>
    <w:rsid w:val="00B46AEB"/>
    <w:rsid w:val="00B47BBE"/>
    <w:rsid w:val="00B518B8"/>
    <w:rsid w:val="00B51B1D"/>
    <w:rsid w:val="00B51CB6"/>
    <w:rsid w:val="00B5575D"/>
    <w:rsid w:val="00B5673F"/>
    <w:rsid w:val="00B60167"/>
    <w:rsid w:val="00B62E9D"/>
    <w:rsid w:val="00B7044E"/>
    <w:rsid w:val="00B708A6"/>
    <w:rsid w:val="00B724CD"/>
    <w:rsid w:val="00B75A95"/>
    <w:rsid w:val="00B75A96"/>
    <w:rsid w:val="00B80831"/>
    <w:rsid w:val="00B844DB"/>
    <w:rsid w:val="00B850AF"/>
    <w:rsid w:val="00B85400"/>
    <w:rsid w:val="00B8556E"/>
    <w:rsid w:val="00B87AA0"/>
    <w:rsid w:val="00B90CEC"/>
    <w:rsid w:val="00B91088"/>
    <w:rsid w:val="00B911CF"/>
    <w:rsid w:val="00B91A35"/>
    <w:rsid w:val="00B92A19"/>
    <w:rsid w:val="00B93A17"/>
    <w:rsid w:val="00B95344"/>
    <w:rsid w:val="00B95B01"/>
    <w:rsid w:val="00BA2A04"/>
    <w:rsid w:val="00BB04EE"/>
    <w:rsid w:val="00BB0776"/>
    <w:rsid w:val="00BB1D6C"/>
    <w:rsid w:val="00BB33AA"/>
    <w:rsid w:val="00BB6C94"/>
    <w:rsid w:val="00BC2B07"/>
    <w:rsid w:val="00BC357F"/>
    <w:rsid w:val="00BC547B"/>
    <w:rsid w:val="00BC6C42"/>
    <w:rsid w:val="00BD3601"/>
    <w:rsid w:val="00BD4B6C"/>
    <w:rsid w:val="00BD7DA3"/>
    <w:rsid w:val="00BE0F37"/>
    <w:rsid w:val="00BE318F"/>
    <w:rsid w:val="00BE4549"/>
    <w:rsid w:val="00BE460C"/>
    <w:rsid w:val="00BE5098"/>
    <w:rsid w:val="00BF0FBC"/>
    <w:rsid w:val="00BF146C"/>
    <w:rsid w:val="00BF1BC9"/>
    <w:rsid w:val="00BF1D67"/>
    <w:rsid w:val="00BF4047"/>
    <w:rsid w:val="00BF5B50"/>
    <w:rsid w:val="00C01B45"/>
    <w:rsid w:val="00C01CF4"/>
    <w:rsid w:val="00C01FD3"/>
    <w:rsid w:val="00C02E38"/>
    <w:rsid w:val="00C047BF"/>
    <w:rsid w:val="00C070EC"/>
    <w:rsid w:val="00C20F4E"/>
    <w:rsid w:val="00C30235"/>
    <w:rsid w:val="00C3058E"/>
    <w:rsid w:val="00C3071C"/>
    <w:rsid w:val="00C31223"/>
    <w:rsid w:val="00C34C65"/>
    <w:rsid w:val="00C3520B"/>
    <w:rsid w:val="00C37DF5"/>
    <w:rsid w:val="00C37FA3"/>
    <w:rsid w:val="00C406B6"/>
    <w:rsid w:val="00C43D7E"/>
    <w:rsid w:val="00C442D3"/>
    <w:rsid w:val="00C4556B"/>
    <w:rsid w:val="00C45DC4"/>
    <w:rsid w:val="00C460CF"/>
    <w:rsid w:val="00C52FEA"/>
    <w:rsid w:val="00C5355F"/>
    <w:rsid w:val="00C54620"/>
    <w:rsid w:val="00C57D67"/>
    <w:rsid w:val="00C6245F"/>
    <w:rsid w:val="00C6401A"/>
    <w:rsid w:val="00C677A7"/>
    <w:rsid w:val="00C72066"/>
    <w:rsid w:val="00C74602"/>
    <w:rsid w:val="00C7486A"/>
    <w:rsid w:val="00C77405"/>
    <w:rsid w:val="00C77771"/>
    <w:rsid w:val="00C77BDD"/>
    <w:rsid w:val="00C77F27"/>
    <w:rsid w:val="00C80E44"/>
    <w:rsid w:val="00C8396F"/>
    <w:rsid w:val="00C854D2"/>
    <w:rsid w:val="00C86709"/>
    <w:rsid w:val="00C872FF"/>
    <w:rsid w:val="00C91021"/>
    <w:rsid w:val="00C92445"/>
    <w:rsid w:val="00C9323E"/>
    <w:rsid w:val="00C93361"/>
    <w:rsid w:val="00C93809"/>
    <w:rsid w:val="00C94E27"/>
    <w:rsid w:val="00C96465"/>
    <w:rsid w:val="00CA16A1"/>
    <w:rsid w:val="00CA170D"/>
    <w:rsid w:val="00CA2B22"/>
    <w:rsid w:val="00CA2DD4"/>
    <w:rsid w:val="00CA673B"/>
    <w:rsid w:val="00CA6910"/>
    <w:rsid w:val="00CB0E00"/>
    <w:rsid w:val="00CB6619"/>
    <w:rsid w:val="00CB7A8F"/>
    <w:rsid w:val="00CB7BF6"/>
    <w:rsid w:val="00CC58B2"/>
    <w:rsid w:val="00CC6A49"/>
    <w:rsid w:val="00CD3385"/>
    <w:rsid w:val="00CD3CCB"/>
    <w:rsid w:val="00CD42EA"/>
    <w:rsid w:val="00CD471B"/>
    <w:rsid w:val="00CD6BF9"/>
    <w:rsid w:val="00CD7826"/>
    <w:rsid w:val="00CD7883"/>
    <w:rsid w:val="00CE3859"/>
    <w:rsid w:val="00CE7FF1"/>
    <w:rsid w:val="00CF07B5"/>
    <w:rsid w:val="00CF18FD"/>
    <w:rsid w:val="00CF1FFD"/>
    <w:rsid w:val="00CF2B74"/>
    <w:rsid w:val="00CF4167"/>
    <w:rsid w:val="00CF4234"/>
    <w:rsid w:val="00CF69B6"/>
    <w:rsid w:val="00D010FB"/>
    <w:rsid w:val="00D01DCA"/>
    <w:rsid w:val="00D023C5"/>
    <w:rsid w:val="00D054AA"/>
    <w:rsid w:val="00D0696D"/>
    <w:rsid w:val="00D1163E"/>
    <w:rsid w:val="00D139FC"/>
    <w:rsid w:val="00D13FB6"/>
    <w:rsid w:val="00D14F6B"/>
    <w:rsid w:val="00D17186"/>
    <w:rsid w:val="00D30A40"/>
    <w:rsid w:val="00D31D67"/>
    <w:rsid w:val="00D344E5"/>
    <w:rsid w:val="00D43059"/>
    <w:rsid w:val="00D4499B"/>
    <w:rsid w:val="00D4628B"/>
    <w:rsid w:val="00D464E7"/>
    <w:rsid w:val="00D553D6"/>
    <w:rsid w:val="00D62CEB"/>
    <w:rsid w:val="00D66EFA"/>
    <w:rsid w:val="00D70B84"/>
    <w:rsid w:val="00D75623"/>
    <w:rsid w:val="00D800FA"/>
    <w:rsid w:val="00D901D0"/>
    <w:rsid w:val="00D90201"/>
    <w:rsid w:val="00D906CF"/>
    <w:rsid w:val="00D91A62"/>
    <w:rsid w:val="00D93C09"/>
    <w:rsid w:val="00D93DB4"/>
    <w:rsid w:val="00DA2471"/>
    <w:rsid w:val="00DA24DF"/>
    <w:rsid w:val="00DA28D4"/>
    <w:rsid w:val="00DA4087"/>
    <w:rsid w:val="00DA6B3B"/>
    <w:rsid w:val="00DB0698"/>
    <w:rsid w:val="00DB1524"/>
    <w:rsid w:val="00DB1A5B"/>
    <w:rsid w:val="00DB1F59"/>
    <w:rsid w:val="00DB4D93"/>
    <w:rsid w:val="00DC01A2"/>
    <w:rsid w:val="00DC0239"/>
    <w:rsid w:val="00DC267A"/>
    <w:rsid w:val="00DC2D81"/>
    <w:rsid w:val="00DC304D"/>
    <w:rsid w:val="00DC3628"/>
    <w:rsid w:val="00DC509F"/>
    <w:rsid w:val="00DC5314"/>
    <w:rsid w:val="00DC5398"/>
    <w:rsid w:val="00DC7A4F"/>
    <w:rsid w:val="00DD5BC5"/>
    <w:rsid w:val="00DD786D"/>
    <w:rsid w:val="00DE1A04"/>
    <w:rsid w:val="00DE1FDF"/>
    <w:rsid w:val="00DE69D2"/>
    <w:rsid w:val="00DE6C0E"/>
    <w:rsid w:val="00DE6DF7"/>
    <w:rsid w:val="00DE7E87"/>
    <w:rsid w:val="00DF69E2"/>
    <w:rsid w:val="00DF740C"/>
    <w:rsid w:val="00DF7753"/>
    <w:rsid w:val="00E02D37"/>
    <w:rsid w:val="00E048E9"/>
    <w:rsid w:val="00E0692D"/>
    <w:rsid w:val="00E07387"/>
    <w:rsid w:val="00E07CA9"/>
    <w:rsid w:val="00E110AE"/>
    <w:rsid w:val="00E12C83"/>
    <w:rsid w:val="00E12F2E"/>
    <w:rsid w:val="00E135B7"/>
    <w:rsid w:val="00E20BC1"/>
    <w:rsid w:val="00E21620"/>
    <w:rsid w:val="00E24F81"/>
    <w:rsid w:val="00E260A4"/>
    <w:rsid w:val="00E27E1C"/>
    <w:rsid w:val="00E32AA5"/>
    <w:rsid w:val="00E359BC"/>
    <w:rsid w:val="00E35C9B"/>
    <w:rsid w:val="00E40ED9"/>
    <w:rsid w:val="00E41B99"/>
    <w:rsid w:val="00E431A4"/>
    <w:rsid w:val="00E4611D"/>
    <w:rsid w:val="00E46B9F"/>
    <w:rsid w:val="00E5759E"/>
    <w:rsid w:val="00E57C03"/>
    <w:rsid w:val="00E57D97"/>
    <w:rsid w:val="00E6642B"/>
    <w:rsid w:val="00E70480"/>
    <w:rsid w:val="00E70DDE"/>
    <w:rsid w:val="00E712AA"/>
    <w:rsid w:val="00E743E0"/>
    <w:rsid w:val="00E74945"/>
    <w:rsid w:val="00E7501B"/>
    <w:rsid w:val="00E75085"/>
    <w:rsid w:val="00E835AF"/>
    <w:rsid w:val="00E8470D"/>
    <w:rsid w:val="00E84DDA"/>
    <w:rsid w:val="00E85063"/>
    <w:rsid w:val="00E86A3F"/>
    <w:rsid w:val="00E86FE4"/>
    <w:rsid w:val="00E92A77"/>
    <w:rsid w:val="00EA066E"/>
    <w:rsid w:val="00EA0B61"/>
    <w:rsid w:val="00EA173A"/>
    <w:rsid w:val="00EA2004"/>
    <w:rsid w:val="00EA5E95"/>
    <w:rsid w:val="00EB0675"/>
    <w:rsid w:val="00EB072E"/>
    <w:rsid w:val="00EB1ED7"/>
    <w:rsid w:val="00EB2DBE"/>
    <w:rsid w:val="00EB6E68"/>
    <w:rsid w:val="00EB74E9"/>
    <w:rsid w:val="00EC0A91"/>
    <w:rsid w:val="00EC0FD1"/>
    <w:rsid w:val="00EC1E84"/>
    <w:rsid w:val="00EC3222"/>
    <w:rsid w:val="00EC427E"/>
    <w:rsid w:val="00EC4515"/>
    <w:rsid w:val="00EC4C57"/>
    <w:rsid w:val="00EC54A9"/>
    <w:rsid w:val="00ED0297"/>
    <w:rsid w:val="00ED33EC"/>
    <w:rsid w:val="00ED3AB3"/>
    <w:rsid w:val="00ED4853"/>
    <w:rsid w:val="00ED5AB5"/>
    <w:rsid w:val="00ED64FC"/>
    <w:rsid w:val="00ED6E52"/>
    <w:rsid w:val="00ED7355"/>
    <w:rsid w:val="00EE02D4"/>
    <w:rsid w:val="00EE1ED4"/>
    <w:rsid w:val="00EE210B"/>
    <w:rsid w:val="00EE2E90"/>
    <w:rsid w:val="00EE500D"/>
    <w:rsid w:val="00EE576D"/>
    <w:rsid w:val="00EF02D2"/>
    <w:rsid w:val="00EF17D3"/>
    <w:rsid w:val="00EF1C6B"/>
    <w:rsid w:val="00EF55DE"/>
    <w:rsid w:val="00EF5974"/>
    <w:rsid w:val="00EF5E72"/>
    <w:rsid w:val="00F003FB"/>
    <w:rsid w:val="00F004D8"/>
    <w:rsid w:val="00F03C13"/>
    <w:rsid w:val="00F118C6"/>
    <w:rsid w:val="00F13716"/>
    <w:rsid w:val="00F15ED5"/>
    <w:rsid w:val="00F200FB"/>
    <w:rsid w:val="00F208BD"/>
    <w:rsid w:val="00F21C72"/>
    <w:rsid w:val="00F220B2"/>
    <w:rsid w:val="00F24556"/>
    <w:rsid w:val="00F24A2E"/>
    <w:rsid w:val="00F250BC"/>
    <w:rsid w:val="00F30734"/>
    <w:rsid w:val="00F31953"/>
    <w:rsid w:val="00F31A96"/>
    <w:rsid w:val="00F33A78"/>
    <w:rsid w:val="00F34707"/>
    <w:rsid w:val="00F348FB"/>
    <w:rsid w:val="00F362D9"/>
    <w:rsid w:val="00F36901"/>
    <w:rsid w:val="00F37ABF"/>
    <w:rsid w:val="00F40DB0"/>
    <w:rsid w:val="00F4118C"/>
    <w:rsid w:val="00F416AC"/>
    <w:rsid w:val="00F44865"/>
    <w:rsid w:val="00F45E45"/>
    <w:rsid w:val="00F46A64"/>
    <w:rsid w:val="00F529A0"/>
    <w:rsid w:val="00F5369D"/>
    <w:rsid w:val="00F542A1"/>
    <w:rsid w:val="00F5638F"/>
    <w:rsid w:val="00F57118"/>
    <w:rsid w:val="00F62982"/>
    <w:rsid w:val="00F62C91"/>
    <w:rsid w:val="00F63A30"/>
    <w:rsid w:val="00F64C6C"/>
    <w:rsid w:val="00F67BC2"/>
    <w:rsid w:val="00F67F78"/>
    <w:rsid w:val="00F7337B"/>
    <w:rsid w:val="00F73786"/>
    <w:rsid w:val="00F750F4"/>
    <w:rsid w:val="00F7528E"/>
    <w:rsid w:val="00F815CC"/>
    <w:rsid w:val="00F8438C"/>
    <w:rsid w:val="00F902F7"/>
    <w:rsid w:val="00F927DA"/>
    <w:rsid w:val="00FA05DE"/>
    <w:rsid w:val="00FA0B2E"/>
    <w:rsid w:val="00FA15A0"/>
    <w:rsid w:val="00FA1A9C"/>
    <w:rsid w:val="00FA797C"/>
    <w:rsid w:val="00FB5AA7"/>
    <w:rsid w:val="00FB5B31"/>
    <w:rsid w:val="00FB5D2F"/>
    <w:rsid w:val="00FB781F"/>
    <w:rsid w:val="00FB794A"/>
    <w:rsid w:val="00FC4057"/>
    <w:rsid w:val="00FD02A4"/>
    <w:rsid w:val="00FD263F"/>
    <w:rsid w:val="00FD28E3"/>
    <w:rsid w:val="00FD3C68"/>
    <w:rsid w:val="00FD564F"/>
    <w:rsid w:val="00FE1A84"/>
    <w:rsid w:val="00FE3862"/>
    <w:rsid w:val="00FE4CFB"/>
    <w:rsid w:val="00FF1322"/>
    <w:rsid w:val="00FF3442"/>
    <w:rsid w:val="00FF4590"/>
    <w:rsid w:val="00FF4F81"/>
    <w:rsid w:val="00FF528E"/>
    <w:rsid w:val="00FF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A60AAB4"/>
  <w15:docId w15:val="{CA5DE296-2FF4-466B-B8F9-DFCF2A58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color w:val="000000"/>
        <w:spacing w:val="-2"/>
        <w:sz w:val="24"/>
        <w:szCs w:val="24"/>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73A"/>
  </w:style>
  <w:style w:type="paragraph" w:styleId="Heading1">
    <w:name w:val="heading 1"/>
    <w:basedOn w:val="Normal"/>
    <w:link w:val="Heading1Char"/>
    <w:uiPriority w:val="9"/>
    <w:qFormat/>
    <w:locked/>
    <w:rsid w:val="0063168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73A"/>
    <w:pPr>
      <w:autoSpaceDE w:val="0"/>
      <w:autoSpaceDN w:val="0"/>
      <w:adjustRightInd w:val="0"/>
    </w:pPr>
  </w:style>
  <w:style w:type="paragraph" w:styleId="ListParagraph">
    <w:name w:val="List Paragraph"/>
    <w:basedOn w:val="Normal"/>
    <w:uiPriority w:val="34"/>
    <w:qFormat/>
    <w:rsid w:val="00EA173A"/>
    <w:pPr>
      <w:spacing w:after="200" w:line="276" w:lineRule="auto"/>
      <w:ind w:left="720"/>
      <w:contextualSpacing/>
    </w:pPr>
    <w:rPr>
      <w:sz w:val="22"/>
      <w:szCs w:val="22"/>
    </w:rPr>
  </w:style>
  <w:style w:type="table" w:customStyle="1" w:styleId="TableGrid2">
    <w:name w:val="Table Grid2"/>
    <w:uiPriority w:val="99"/>
    <w:rsid w:val="00EA17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wdrop">
    <w:name w:val="Paragraph w/drop"/>
    <w:basedOn w:val="Normal"/>
    <w:uiPriority w:val="99"/>
    <w:rsid w:val="00EA173A"/>
    <w:pPr>
      <w:widowControl w:val="0"/>
      <w:tabs>
        <w:tab w:val="left" w:pos="360"/>
        <w:tab w:val="left" w:pos="3600"/>
        <w:tab w:val="left" w:pos="5760"/>
        <w:tab w:val="left" w:pos="7200"/>
        <w:tab w:val="left" w:pos="8640"/>
      </w:tabs>
      <w:autoSpaceDE w:val="0"/>
      <w:autoSpaceDN w:val="0"/>
      <w:adjustRightInd w:val="0"/>
      <w:spacing w:before="110" w:line="220" w:lineRule="atLeast"/>
      <w:ind w:firstLine="360"/>
      <w:jc w:val="both"/>
      <w:textAlignment w:val="center"/>
    </w:pPr>
    <w:rPr>
      <w:rFonts w:ascii="Giovanni-Book" w:hAnsi="Giovanni-Book" w:cs="Giovanni-Book"/>
      <w:sz w:val="18"/>
      <w:szCs w:val="18"/>
    </w:rPr>
  </w:style>
  <w:style w:type="paragraph" w:customStyle="1" w:styleId="NL-2nojustified">
    <w:name w:val="NL-2 (no justified)"/>
    <w:basedOn w:val="Normal"/>
    <w:uiPriority w:val="99"/>
    <w:rsid w:val="00EA173A"/>
    <w:pPr>
      <w:widowControl w:val="0"/>
      <w:tabs>
        <w:tab w:val="right" w:pos="280"/>
      </w:tabs>
      <w:autoSpaceDE w:val="0"/>
      <w:autoSpaceDN w:val="0"/>
      <w:adjustRightInd w:val="0"/>
      <w:spacing w:line="220" w:lineRule="atLeast"/>
      <w:ind w:left="360" w:hanging="360"/>
      <w:textAlignment w:val="center"/>
    </w:pPr>
    <w:rPr>
      <w:rFonts w:ascii="Giovanni-Book" w:hAnsi="Giovanni-Book" w:cs="Giovanni-Book"/>
      <w:sz w:val="18"/>
      <w:szCs w:val="18"/>
    </w:rPr>
  </w:style>
  <w:style w:type="character" w:customStyle="1" w:styleId="GiovanniBlack9pt">
    <w:name w:val="Giovanni Black 9pt"/>
    <w:uiPriority w:val="99"/>
    <w:rsid w:val="00EA173A"/>
    <w:rPr>
      <w:rFonts w:ascii="Giovanni-Black" w:hAnsi="Giovanni-Black"/>
      <w:sz w:val="18"/>
    </w:rPr>
  </w:style>
  <w:style w:type="character" w:customStyle="1" w:styleId="GiovanniItalic9pt">
    <w:name w:val="Giovanni Italic 9pt"/>
    <w:uiPriority w:val="99"/>
    <w:rsid w:val="00EA173A"/>
    <w:rPr>
      <w:rFonts w:ascii="Giovanni-BookItalic" w:hAnsi="Giovanni-BookItalic"/>
      <w:i/>
      <w:color w:val="000000"/>
      <w:spacing w:val="-2"/>
      <w:w w:val="100"/>
      <w:position w:val="0"/>
      <w:sz w:val="18"/>
      <w:u w:val="none"/>
      <w:vertAlign w:val="baseline"/>
      <w:em w:val="none"/>
      <w:lang w:val="en-US" w:eastAsia="x-none"/>
    </w:rPr>
  </w:style>
  <w:style w:type="character" w:styleId="Hyperlink">
    <w:name w:val="Hyperlink"/>
    <w:uiPriority w:val="99"/>
    <w:rsid w:val="00EA173A"/>
    <w:rPr>
      <w:rFonts w:cs="Times New Roman"/>
      <w:color w:val="0000FF"/>
      <w:u w:val="single"/>
    </w:rPr>
  </w:style>
  <w:style w:type="paragraph" w:customStyle="1" w:styleId="ColorfulList-Accent11">
    <w:name w:val="Colorful List - Accent 11"/>
    <w:basedOn w:val="Normal"/>
    <w:uiPriority w:val="99"/>
    <w:rsid w:val="007443F5"/>
    <w:pPr>
      <w:ind w:left="720"/>
      <w:contextualSpacing/>
    </w:pPr>
  </w:style>
  <w:style w:type="paragraph" w:styleId="BalloonText">
    <w:name w:val="Balloon Text"/>
    <w:basedOn w:val="Normal"/>
    <w:link w:val="BalloonTextChar"/>
    <w:uiPriority w:val="99"/>
    <w:semiHidden/>
    <w:rsid w:val="00876802"/>
    <w:rPr>
      <w:rFonts w:ascii="Lucida Grande" w:hAnsi="Lucida Grande" w:cs="Lucida Grande"/>
      <w:sz w:val="18"/>
      <w:szCs w:val="18"/>
    </w:rPr>
  </w:style>
  <w:style w:type="character" w:customStyle="1" w:styleId="BalloonTextChar">
    <w:name w:val="Balloon Text Char"/>
    <w:link w:val="BalloonText"/>
    <w:uiPriority w:val="99"/>
    <w:semiHidden/>
    <w:locked/>
    <w:rsid w:val="00876802"/>
    <w:rPr>
      <w:rFonts w:ascii="Lucida Grande" w:hAnsi="Lucida Grande" w:cs="Lucida Grande"/>
      <w:sz w:val="18"/>
      <w:szCs w:val="18"/>
      <w:lang w:val="x-none" w:eastAsia="ja-JP"/>
    </w:rPr>
  </w:style>
  <w:style w:type="character" w:styleId="CommentReference">
    <w:name w:val="annotation reference"/>
    <w:uiPriority w:val="99"/>
    <w:semiHidden/>
    <w:rsid w:val="00210023"/>
    <w:rPr>
      <w:rFonts w:cs="Times New Roman"/>
      <w:sz w:val="16"/>
      <w:szCs w:val="16"/>
    </w:rPr>
  </w:style>
  <w:style w:type="paragraph" w:styleId="CommentText">
    <w:name w:val="annotation text"/>
    <w:basedOn w:val="Normal"/>
    <w:link w:val="CommentTextChar"/>
    <w:uiPriority w:val="99"/>
    <w:semiHidden/>
    <w:rsid w:val="00210023"/>
    <w:rPr>
      <w:sz w:val="20"/>
      <w:szCs w:val="20"/>
    </w:rPr>
  </w:style>
  <w:style w:type="character" w:customStyle="1" w:styleId="CommentTextChar">
    <w:name w:val="Comment Text Char"/>
    <w:link w:val="CommentText"/>
    <w:uiPriority w:val="99"/>
    <w:semiHidden/>
    <w:locked/>
    <w:rsid w:val="00210023"/>
    <w:rPr>
      <w:rFonts w:cs="Times New Roman"/>
      <w:sz w:val="20"/>
      <w:szCs w:val="20"/>
      <w:lang w:val="x-none" w:eastAsia="ja-JP"/>
    </w:rPr>
  </w:style>
  <w:style w:type="paragraph" w:styleId="CommentSubject">
    <w:name w:val="annotation subject"/>
    <w:basedOn w:val="CommentText"/>
    <w:next w:val="CommentText"/>
    <w:link w:val="CommentSubjectChar"/>
    <w:uiPriority w:val="99"/>
    <w:semiHidden/>
    <w:rsid w:val="00210023"/>
    <w:rPr>
      <w:b/>
      <w:bCs/>
    </w:rPr>
  </w:style>
  <w:style w:type="character" w:customStyle="1" w:styleId="CommentSubjectChar">
    <w:name w:val="Comment Subject Char"/>
    <w:link w:val="CommentSubject"/>
    <w:uiPriority w:val="99"/>
    <w:semiHidden/>
    <w:locked/>
    <w:rsid w:val="00210023"/>
    <w:rPr>
      <w:rFonts w:cs="Times New Roman"/>
      <w:b/>
      <w:bCs/>
      <w:sz w:val="20"/>
      <w:szCs w:val="20"/>
      <w:lang w:val="x-none" w:eastAsia="ja-JP"/>
    </w:rPr>
  </w:style>
  <w:style w:type="paragraph" w:styleId="Header">
    <w:name w:val="header"/>
    <w:basedOn w:val="Normal"/>
    <w:link w:val="HeaderChar"/>
    <w:uiPriority w:val="99"/>
    <w:rsid w:val="007B132C"/>
    <w:pPr>
      <w:tabs>
        <w:tab w:val="center" w:pos="4680"/>
        <w:tab w:val="right" w:pos="9360"/>
      </w:tabs>
    </w:pPr>
  </w:style>
  <w:style w:type="character" w:customStyle="1" w:styleId="HeaderChar">
    <w:name w:val="Header Char"/>
    <w:link w:val="Header"/>
    <w:uiPriority w:val="99"/>
    <w:locked/>
    <w:rsid w:val="007B132C"/>
    <w:rPr>
      <w:rFonts w:cs="Times New Roman"/>
      <w:lang w:val="x-none" w:eastAsia="ja-JP"/>
    </w:rPr>
  </w:style>
  <w:style w:type="paragraph" w:styleId="Footer">
    <w:name w:val="footer"/>
    <w:basedOn w:val="Normal"/>
    <w:link w:val="FooterChar"/>
    <w:uiPriority w:val="99"/>
    <w:rsid w:val="007B132C"/>
    <w:pPr>
      <w:tabs>
        <w:tab w:val="center" w:pos="4680"/>
        <w:tab w:val="right" w:pos="9360"/>
      </w:tabs>
    </w:pPr>
  </w:style>
  <w:style w:type="character" w:customStyle="1" w:styleId="FooterChar">
    <w:name w:val="Footer Char"/>
    <w:link w:val="Footer"/>
    <w:uiPriority w:val="99"/>
    <w:locked/>
    <w:rsid w:val="007B132C"/>
    <w:rPr>
      <w:rFonts w:cs="Times New Roman"/>
      <w:lang w:val="x-none" w:eastAsia="ja-JP"/>
    </w:rPr>
  </w:style>
  <w:style w:type="paragraph" w:styleId="NormalWeb">
    <w:name w:val="Normal (Web)"/>
    <w:basedOn w:val="Normal"/>
    <w:uiPriority w:val="99"/>
    <w:semiHidden/>
    <w:rsid w:val="00FF4F81"/>
    <w:pPr>
      <w:spacing w:before="100" w:beforeAutospacing="1" w:after="100" w:afterAutospacing="1"/>
    </w:pPr>
  </w:style>
  <w:style w:type="paragraph" w:customStyle="1" w:styleId="Body1">
    <w:name w:val="Body 1"/>
    <w:uiPriority w:val="99"/>
    <w:rsid w:val="005E1858"/>
    <w:pPr>
      <w:spacing w:after="200" w:line="276" w:lineRule="auto"/>
      <w:outlineLvl w:val="0"/>
    </w:pPr>
    <w:rPr>
      <w:rFonts w:ascii="Helvetica" w:eastAsia="Arial Unicode MS" w:hAnsi="Helvetica"/>
      <w:sz w:val="22"/>
      <w:u w:color="000000"/>
    </w:rPr>
  </w:style>
  <w:style w:type="character" w:styleId="FollowedHyperlink">
    <w:name w:val="FollowedHyperlink"/>
    <w:uiPriority w:val="99"/>
    <w:semiHidden/>
    <w:rsid w:val="001B488C"/>
    <w:rPr>
      <w:rFonts w:cs="Times New Roman"/>
      <w:color w:val="800080"/>
      <w:u w:val="single"/>
    </w:rPr>
  </w:style>
  <w:style w:type="table" w:styleId="TableGrid">
    <w:name w:val="Table Grid"/>
    <w:basedOn w:val="TableNormal"/>
    <w:uiPriority w:val="59"/>
    <w:rsid w:val="001D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5435"/>
    <w:rPr>
      <w:rFonts w:ascii="Calibri" w:hAnsi="Calibri"/>
      <w:sz w:val="22"/>
      <w:szCs w:val="22"/>
    </w:rPr>
  </w:style>
  <w:style w:type="character" w:styleId="IntenseEmphasis">
    <w:name w:val="Intense Emphasis"/>
    <w:uiPriority w:val="21"/>
    <w:qFormat/>
    <w:rsid w:val="00345435"/>
    <w:rPr>
      <w:rFonts w:cs="Times New Roman"/>
      <w:b/>
      <w:bCs/>
      <w:i/>
      <w:iCs/>
      <w:color w:val="4F81BD"/>
    </w:rPr>
  </w:style>
  <w:style w:type="paragraph" w:styleId="EndnoteText">
    <w:name w:val="endnote text"/>
    <w:basedOn w:val="Normal"/>
    <w:link w:val="EndnoteTextChar"/>
    <w:rsid w:val="003059A2"/>
    <w:rPr>
      <w:rFonts w:ascii="Calibri" w:eastAsia="Times New Roman" w:hAnsi="Calibri"/>
      <w:sz w:val="20"/>
      <w:szCs w:val="20"/>
    </w:rPr>
  </w:style>
  <w:style w:type="character" w:customStyle="1" w:styleId="EndnoteTextChar">
    <w:name w:val="Endnote Text Char"/>
    <w:link w:val="EndnoteText"/>
    <w:locked/>
    <w:rsid w:val="003059A2"/>
    <w:rPr>
      <w:rFonts w:ascii="Calibri" w:hAnsi="Calibri"/>
      <w:lang w:val="en-US" w:eastAsia="en-US" w:bidi="ar-SA"/>
    </w:rPr>
  </w:style>
  <w:style w:type="character" w:customStyle="1" w:styleId="NoSpacingChar">
    <w:name w:val="No Spacing Char"/>
    <w:link w:val="NoSpacing"/>
    <w:rsid w:val="00F24A2E"/>
    <w:rPr>
      <w:rFonts w:ascii="Calibri" w:eastAsia="MS Mincho" w:hAnsi="Calibri"/>
      <w:sz w:val="22"/>
      <w:szCs w:val="22"/>
      <w:lang w:val="en-US" w:eastAsia="en-US" w:bidi="ar-SA"/>
    </w:rPr>
  </w:style>
  <w:style w:type="character" w:customStyle="1" w:styleId="Heading1Char">
    <w:name w:val="Heading 1 Char"/>
    <w:basedOn w:val="DefaultParagraphFont"/>
    <w:link w:val="Heading1"/>
    <w:uiPriority w:val="9"/>
    <w:rsid w:val="00631686"/>
    <w:rPr>
      <w:rFonts w:ascii="Times New Roman" w:eastAsia="Times New Roman" w:hAnsi="Times New Roman"/>
      <w:b/>
      <w:bCs/>
      <w:kern w:val="36"/>
      <w:sz w:val="48"/>
      <w:szCs w:val="48"/>
    </w:rPr>
  </w:style>
  <w:style w:type="character" w:customStyle="1" w:styleId="ms-rtethemefontface-2">
    <w:name w:val="ms-rtethemefontface-2"/>
    <w:basedOn w:val="DefaultParagraphFont"/>
    <w:rsid w:val="00631686"/>
  </w:style>
  <w:style w:type="character" w:customStyle="1" w:styleId="ms-rtefontsize-2">
    <w:name w:val="ms-rtefontsize-2"/>
    <w:basedOn w:val="DefaultParagraphFont"/>
    <w:rsid w:val="0066048F"/>
  </w:style>
  <w:style w:type="paragraph" w:styleId="FootnoteText">
    <w:name w:val="footnote text"/>
    <w:basedOn w:val="Normal"/>
    <w:link w:val="FootnoteTextChar"/>
    <w:uiPriority w:val="99"/>
    <w:unhideWhenUsed/>
    <w:rsid w:val="008E190E"/>
    <w:rPr>
      <w:rFonts w:asciiTheme="minorHAnsi" w:hAnsiTheme="minorHAnsi"/>
      <w:sz w:val="20"/>
      <w:szCs w:val="20"/>
    </w:rPr>
  </w:style>
  <w:style w:type="character" w:customStyle="1" w:styleId="FootnoteTextChar">
    <w:name w:val="Footnote Text Char"/>
    <w:basedOn w:val="DefaultParagraphFont"/>
    <w:link w:val="FootnoteText"/>
    <w:uiPriority w:val="99"/>
    <w:rsid w:val="008E190E"/>
    <w:rPr>
      <w:rFonts w:asciiTheme="minorHAnsi" w:hAnsiTheme="minorHAnsi"/>
      <w:lang w:eastAsia="ja-JP"/>
    </w:rPr>
  </w:style>
  <w:style w:type="character" w:styleId="FootnoteReference">
    <w:name w:val="footnote reference"/>
    <w:basedOn w:val="DefaultParagraphFont"/>
    <w:uiPriority w:val="99"/>
    <w:semiHidden/>
    <w:unhideWhenUsed/>
    <w:rsid w:val="004831BE"/>
    <w:rPr>
      <w:vertAlign w:val="superscript"/>
    </w:rPr>
  </w:style>
  <w:style w:type="paragraph" w:customStyle="1" w:styleId="Style1">
    <w:name w:val="Style1"/>
    <w:basedOn w:val="FootnoteText"/>
    <w:link w:val="Style1Char"/>
    <w:qFormat/>
    <w:rsid w:val="003A69BB"/>
    <w:rPr>
      <w:rFonts w:ascii="Calibri" w:hAnsi="Calibri"/>
    </w:rPr>
  </w:style>
  <w:style w:type="character" w:customStyle="1" w:styleId="Style1Char">
    <w:name w:val="Style1 Char"/>
    <w:basedOn w:val="FootnoteTextChar"/>
    <w:link w:val="Style1"/>
    <w:rsid w:val="003A69BB"/>
    <w:rPr>
      <w:rFonts w:ascii="Calibri" w:hAnsi="Calibri"/>
      <w:lang w:eastAsia="ja-JP"/>
    </w:rPr>
  </w:style>
  <w:style w:type="paragraph" w:styleId="Revision">
    <w:name w:val="Revision"/>
    <w:hidden/>
    <w:uiPriority w:val="99"/>
    <w:semiHidden/>
    <w:rsid w:val="00791EAB"/>
  </w:style>
  <w:style w:type="character" w:styleId="LineNumber">
    <w:name w:val="line number"/>
    <w:basedOn w:val="DefaultParagraphFont"/>
    <w:uiPriority w:val="99"/>
    <w:semiHidden/>
    <w:unhideWhenUsed/>
    <w:rsid w:val="00702995"/>
  </w:style>
  <w:style w:type="paragraph" w:styleId="Subtitle">
    <w:name w:val="Subtitle"/>
    <w:basedOn w:val="Normal"/>
    <w:next w:val="Normal"/>
    <w:link w:val="SubtitleChar"/>
    <w:qFormat/>
    <w:locked/>
    <w:rsid w:val="00323F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23F92"/>
    <w:rPr>
      <w:rFonts w:asciiTheme="minorHAnsi" w:eastAsiaTheme="minorEastAsia" w:hAnsiTheme="minorHAnsi" w:cstheme="minorBidi"/>
      <w:color w:val="5A5A5A" w:themeColor="text1" w:themeTint="A5"/>
      <w:spacing w:val="15"/>
      <w:sz w:val="22"/>
      <w:szCs w:val="22"/>
    </w:rPr>
  </w:style>
  <w:style w:type="character" w:styleId="EndnoteReference">
    <w:name w:val="endnote reference"/>
    <w:basedOn w:val="DefaultParagraphFont"/>
    <w:uiPriority w:val="99"/>
    <w:semiHidden/>
    <w:unhideWhenUsed/>
    <w:rsid w:val="000328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76808">
      <w:bodyDiv w:val="1"/>
      <w:marLeft w:val="0"/>
      <w:marRight w:val="0"/>
      <w:marTop w:val="0"/>
      <w:marBottom w:val="0"/>
      <w:divBdr>
        <w:top w:val="none" w:sz="0" w:space="0" w:color="auto"/>
        <w:left w:val="none" w:sz="0" w:space="0" w:color="auto"/>
        <w:bottom w:val="none" w:sz="0" w:space="0" w:color="auto"/>
        <w:right w:val="none" w:sz="0" w:space="0" w:color="auto"/>
      </w:divBdr>
    </w:div>
    <w:div w:id="658970855">
      <w:bodyDiv w:val="1"/>
      <w:marLeft w:val="0"/>
      <w:marRight w:val="0"/>
      <w:marTop w:val="0"/>
      <w:marBottom w:val="0"/>
      <w:divBdr>
        <w:top w:val="none" w:sz="0" w:space="0" w:color="auto"/>
        <w:left w:val="none" w:sz="0" w:space="0" w:color="auto"/>
        <w:bottom w:val="none" w:sz="0" w:space="0" w:color="auto"/>
        <w:right w:val="none" w:sz="0" w:space="0" w:color="auto"/>
      </w:divBdr>
      <w:divsChild>
        <w:div w:id="306326893">
          <w:marLeft w:val="0"/>
          <w:marRight w:val="0"/>
          <w:marTop w:val="0"/>
          <w:marBottom w:val="0"/>
          <w:divBdr>
            <w:top w:val="none" w:sz="0" w:space="0" w:color="auto"/>
            <w:left w:val="none" w:sz="0" w:space="0" w:color="auto"/>
            <w:bottom w:val="none" w:sz="0" w:space="0" w:color="auto"/>
            <w:right w:val="none" w:sz="0" w:space="0" w:color="auto"/>
          </w:divBdr>
        </w:div>
        <w:div w:id="1441952804">
          <w:marLeft w:val="0"/>
          <w:marRight w:val="0"/>
          <w:marTop w:val="0"/>
          <w:marBottom w:val="0"/>
          <w:divBdr>
            <w:top w:val="none" w:sz="0" w:space="0" w:color="auto"/>
            <w:left w:val="none" w:sz="0" w:space="0" w:color="auto"/>
            <w:bottom w:val="none" w:sz="0" w:space="0" w:color="auto"/>
            <w:right w:val="none" w:sz="0" w:space="0" w:color="auto"/>
          </w:divBdr>
        </w:div>
      </w:divsChild>
    </w:div>
    <w:div w:id="1296375170">
      <w:marLeft w:val="0"/>
      <w:marRight w:val="0"/>
      <w:marTop w:val="0"/>
      <w:marBottom w:val="0"/>
      <w:divBdr>
        <w:top w:val="none" w:sz="0" w:space="0" w:color="auto"/>
        <w:left w:val="none" w:sz="0" w:space="0" w:color="auto"/>
        <w:bottom w:val="none" w:sz="0" w:space="0" w:color="auto"/>
        <w:right w:val="none" w:sz="0" w:space="0" w:color="auto"/>
      </w:divBdr>
    </w:div>
    <w:div w:id="1296375176">
      <w:marLeft w:val="0"/>
      <w:marRight w:val="0"/>
      <w:marTop w:val="0"/>
      <w:marBottom w:val="0"/>
      <w:divBdr>
        <w:top w:val="single" w:sz="12" w:space="0" w:color="767575"/>
        <w:left w:val="none" w:sz="0" w:space="0" w:color="auto"/>
        <w:bottom w:val="none" w:sz="0" w:space="0" w:color="auto"/>
        <w:right w:val="none" w:sz="0" w:space="0" w:color="auto"/>
      </w:divBdr>
      <w:divsChild>
        <w:div w:id="1296375179">
          <w:marLeft w:val="0"/>
          <w:marRight w:val="0"/>
          <w:marTop w:val="0"/>
          <w:marBottom w:val="0"/>
          <w:divBdr>
            <w:top w:val="none" w:sz="0" w:space="0" w:color="auto"/>
            <w:left w:val="none" w:sz="0" w:space="0" w:color="auto"/>
            <w:bottom w:val="none" w:sz="0" w:space="0" w:color="auto"/>
            <w:right w:val="none" w:sz="0" w:space="0" w:color="auto"/>
          </w:divBdr>
          <w:divsChild>
            <w:div w:id="1296375178">
              <w:marLeft w:val="0"/>
              <w:marRight w:val="0"/>
              <w:marTop w:val="0"/>
              <w:marBottom w:val="0"/>
              <w:divBdr>
                <w:top w:val="none" w:sz="0" w:space="0" w:color="auto"/>
                <w:left w:val="none" w:sz="0" w:space="0" w:color="auto"/>
                <w:bottom w:val="none" w:sz="0" w:space="0" w:color="auto"/>
                <w:right w:val="none" w:sz="0" w:space="0" w:color="auto"/>
              </w:divBdr>
              <w:divsChild>
                <w:div w:id="129637518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96375180">
                      <w:marLeft w:val="300"/>
                      <w:marRight w:val="0"/>
                      <w:marTop w:val="0"/>
                      <w:marBottom w:val="0"/>
                      <w:divBdr>
                        <w:top w:val="none" w:sz="0" w:space="0" w:color="auto"/>
                        <w:left w:val="none" w:sz="0" w:space="0" w:color="auto"/>
                        <w:bottom w:val="none" w:sz="0" w:space="0" w:color="auto"/>
                        <w:right w:val="none" w:sz="0" w:space="0" w:color="auto"/>
                      </w:divBdr>
                      <w:divsChild>
                        <w:div w:id="1296375172">
                          <w:marLeft w:val="0"/>
                          <w:marRight w:val="0"/>
                          <w:marTop w:val="0"/>
                          <w:marBottom w:val="0"/>
                          <w:divBdr>
                            <w:top w:val="none" w:sz="0" w:space="0" w:color="auto"/>
                            <w:left w:val="none" w:sz="0" w:space="0" w:color="auto"/>
                            <w:bottom w:val="none" w:sz="0" w:space="0" w:color="auto"/>
                            <w:right w:val="none" w:sz="0" w:space="0" w:color="auto"/>
                          </w:divBdr>
                          <w:divsChild>
                            <w:div w:id="1296375177">
                              <w:marLeft w:val="0"/>
                              <w:marRight w:val="0"/>
                              <w:marTop w:val="0"/>
                              <w:marBottom w:val="0"/>
                              <w:divBdr>
                                <w:top w:val="none" w:sz="0" w:space="0" w:color="auto"/>
                                <w:left w:val="none" w:sz="0" w:space="0" w:color="auto"/>
                                <w:bottom w:val="none" w:sz="0" w:space="0" w:color="auto"/>
                                <w:right w:val="none" w:sz="0" w:space="0" w:color="auto"/>
                              </w:divBdr>
                              <w:divsChild>
                                <w:div w:id="1296375182">
                                  <w:marLeft w:val="0"/>
                                  <w:marRight w:val="0"/>
                                  <w:marTop w:val="0"/>
                                  <w:marBottom w:val="0"/>
                                  <w:divBdr>
                                    <w:top w:val="none" w:sz="0" w:space="0" w:color="auto"/>
                                    <w:left w:val="none" w:sz="0" w:space="0" w:color="auto"/>
                                    <w:bottom w:val="none" w:sz="0" w:space="0" w:color="auto"/>
                                    <w:right w:val="none" w:sz="0" w:space="0" w:color="auto"/>
                                  </w:divBdr>
                                  <w:divsChild>
                                    <w:div w:id="1296375173">
                                      <w:marLeft w:val="0"/>
                                      <w:marRight w:val="0"/>
                                      <w:marTop w:val="0"/>
                                      <w:marBottom w:val="0"/>
                                      <w:divBdr>
                                        <w:top w:val="none" w:sz="0" w:space="0" w:color="auto"/>
                                        <w:left w:val="none" w:sz="0" w:space="0" w:color="auto"/>
                                        <w:bottom w:val="none" w:sz="0" w:space="0" w:color="auto"/>
                                        <w:right w:val="none" w:sz="0" w:space="0" w:color="auto"/>
                                      </w:divBdr>
                                      <w:divsChild>
                                        <w:div w:id="1296375174">
                                          <w:marLeft w:val="0"/>
                                          <w:marRight w:val="0"/>
                                          <w:marTop w:val="0"/>
                                          <w:marBottom w:val="0"/>
                                          <w:divBdr>
                                            <w:top w:val="none" w:sz="0" w:space="0" w:color="auto"/>
                                            <w:left w:val="none" w:sz="0" w:space="0" w:color="auto"/>
                                            <w:bottom w:val="none" w:sz="0" w:space="0" w:color="auto"/>
                                            <w:right w:val="none" w:sz="0" w:space="0" w:color="auto"/>
                                          </w:divBdr>
                                          <w:divsChild>
                                            <w:div w:id="1296375171">
                                              <w:marLeft w:val="0"/>
                                              <w:marRight w:val="0"/>
                                              <w:marTop w:val="0"/>
                                              <w:marBottom w:val="0"/>
                                              <w:divBdr>
                                                <w:top w:val="none" w:sz="0" w:space="0" w:color="auto"/>
                                                <w:left w:val="none" w:sz="0" w:space="0" w:color="auto"/>
                                                <w:bottom w:val="none" w:sz="0" w:space="0" w:color="auto"/>
                                                <w:right w:val="none" w:sz="0" w:space="0" w:color="auto"/>
                                              </w:divBdr>
                                              <w:divsChild>
                                                <w:div w:id="12963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024768">
      <w:bodyDiv w:val="1"/>
      <w:marLeft w:val="0"/>
      <w:marRight w:val="0"/>
      <w:marTop w:val="0"/>
      <w:marBottom w:val="0"/>
      <w:divBdr>
        <w:top w:val="none" w:sz="0" w:space="0" w:color="auto"/>
        <w:left w:val="none" w:sz="0" w:space="0" w:color="auto"/>
        <w:bottom w:val="none" w:sz="0" w:space="0" w:color="auto"/>
        <w:right w:val="none" w:sz="0" w:space="0" w:color="auto"/>
      </w:divBdr>
      <w:divsChild>
        <w:div w:id="593172955">
          <w:marLeft w:val="0"/>
          <w:marRight w:val="0"/>
          <w:marTop w:val="0"/>
          <w:marBottom w:val="0"/>
          <w:divBdr>
            <w:top w:val="none" w:sz="0" w:space="0" w:color="auto"/>
            <w:left w:val="none" w:sz="0" w:space="0" w:color="auto"/>
            <w:bottom w:val="none" w:sz="0" w:space="0" w:color="auto"/>
            <w:right w:val="none" w:sz="0" w:space="0" w:color="auto"/>
          </w:divBdr>
        </w:div>
        <w:div w:id="1974016297">
          <w:marLeft w:val="0"/>
          <w:marRight w:val="0"/>
          <w:marTop w:val="0"/>
          <w:marBottom w:val="0"/>
          <w:divBdr>
            <w:top w:val="none" w:sz="0" w:space="0" w:color="auto"/>
            <w:left w:val="none" w:sz="0" w:space="0" w:color="auto"/>
            <w:bottom w:val="none" w:sz="0" w:space="0" w:color="auto"/>
            <w:right w:val="none" w:sz="0" w:space="0" w:color="auto"/>
          </w:divBdr>
        </w:div>
      </w:divsChild>
    </w:div>
    <w:div w:id="1571505271">
      <w:bodyDiv w:val="1"/>
      <w:marLeft w:val="0"/>
      <w:marRight w:val="0"/>
      <w:marTop w:val="0"/>
      <w:marBottom w:val="0"/>
      <w:divBdr>
        <w:top w:val="none" w:sz="0" w:space="0" w:color="auto"/>
        <w:left w:val="none" w:sz="0" w:space="0" w:color="auto"/>
        <w:bottom w:val="none" w:sz="0" w:space="0" w:color="auto"/>
        <w:right w:val="none" w:sz="0" w:space="0" w:color="auto"/>
      </w:divBdr>
      <w:divsChild>
        <w:div w:id="477964923">
          <w:marLeft w:val="0"/>
          <w:marRight w:val="0"/>
          <w:marTop w:val="0"/>
          <w:marBottom w:val="0"/>
          <w:divBdr>
            <w:top w:val="none" w:sz="0" w:space="0" w:color="auto"/>
            <w:left w:val="none" w:sz="0" w:space="0" w:color="auto"/>
            <w:bottom w:val="none" w:sz="0" w:space="0" w:color="auto"/>
            <w:right w:val="none" w:sz="0" w:space="0" w:color="auto"/>
          </w:divBdr>
        </w:div>
        <w:div w:id="92283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mc.edu/AboutSMC/Accreditation/Documents/2016/Standard%20IA%20Evidence/IA1_MyEd_Plan.pdf" TargetMode="External"/><Relationship Id="rId21" Type="http://schemas.openxmlformats.org/officeDocument/2006/relationships/hyperlink" Target="http://www.smc.edu/AboutSMC/Accreditation/Documents/2016/Standard%20IA%20Evidence/IA1_Active_ADTs_July2016_CCCCO.pdf" TargetMode="External"/><Relationship Id="rId42" Type="http://schemas.openxmlformats.org/officeDocument/2006/relationships/hyperlink" Target="http://www.smc.edu/AboutSMC/Accreditation/Documents/2016/Standard%20IA%20Evidence/IA2_SuccessNavigator_Institution_Report.pdf" TargetMode="External"/><Relationship Id="rId47" Type="http://schemas.openxmlformats.org/officeDocument/2006/relationships/hyperlink" Target="http://www.smc.edu/AboutSMC/Accreditation/Documents/2016/Standard%20IA%20Evidence/IA3_MPE_&amp;_Strategic_Planning_Timeline.pdf" TargetMode="External"/><Relationship Id="rId63" Type="http://schemas.openxmlformats.org/officeDocument/2006/relationships/hyperlink" Target="http://www.smc.edu/AboutSMC/Accreditation/Documents/2016/Standard%20IA%20Evidence/IA3_DPAC_Annual_Report_MPE_2015-2016.pdf" TargetMode="External"/><Relationship Id="rId68" Type="http://schemas.openxmlformats.org/officeDocument/2006/relationships/hyperlink" Target="IA3_DPAC_Minutes_7-23-2014.pdf"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www.smc.edu/AboutSMC/Accreditation/Documents/2016/Standard%20IA%20Evidence/IA1_PS_Arts_website.pdf" TargetMode="External"/><Relationship Id="rId11" Type="http://schemas.openxmlformats.org/officeDocument/2006/relationships/hyperlink" Target="http://www.smc.edu/AboutSMC/Accreditation/Documents/2016/Standard%20IA%20Evidence/IA1_BT_Minutes_4-3-2012.pdf" TargetMode="External"/><Relationship Id="rId32" Type="http://schemas.openxmlformats.org/officeDocument/2006/relationships/hyperlink" Target="http://www.smc.edu/AboutSMC/Accreditation/Documents/2016/Standard%20IA%20Evidence/IA2_Key_Indicators_Used_To_Measure_Acheivement_of_Supporting_Goals.pdf" TargetMode="External"/><Relationship Id="rId37" Type="http://schemas.openxmlformats.org/officeDocument/2006/relationships/hyperlink" Target="IA2_Summary_of_IE_Comm_Recommendations_for_Planning.pdf" TargetMode="External"/><Relationship Id="rId53" Type="http://schemas.openxmlformats.org/officeDocument/2006/relationships/hyperlink" Target="http://www.smc.edu/AboutSMC/Accreditation/Documents/2016/Standard%20IA%20Evidence/IA3_Master_Plans_for_Education.pdf" TargetMode="External"/><Relationship Id="rId58" Type="http://schemas.openxmlformats.org/officeDocument/2006/relationships/hyperlink" Target="http://www.smc.edu/AboutSMC/Accreditation/Documents/2016/Standard%20IA%20Evidence/IA3_Excerpt_from_2015-16_MPE_Institutional_Objectives_Completion_2011-2016.pdf" TargetMode="External"/><Relationship Id="rId74" Type="http://schemas.openxmlformats.org/officeDocument/2006/relationships/hyperlink" Target="http://www.smc.edu/AboutSMC/Accreditation/Documents/2016/Standard%20IA%20Evidence/IA3_Personnel_and_Budget_Augmentation_Request_Form_16-17.pdf" TargetMode="External"/><Relationship Id="rId79" Type="http://schemas.openxmlformats.org/officeDocument/2006/relationships/hyperlink" Target="http://www.smc.edu/AboutSMC/Accreditation/Documents/2016/Standard%20IA%20Evidence/IA4_Board_Policy_Manual_website.pdf" TargetMode="External"/><Relationship Id="rId5" Type="http://schemas.openxmlformats.org/officeDocument/2006/relationships/webSettings" Target="webSettings.xml"/><Relationship Id="rId90" Type="http://schemas.openxmlformats.org/officeDocument/2006/relationships/theme" Target="theme/theme1.xml"/><Relationship Id="rId22" Type="http://schemas.openxmlformats.org/officeDocument/2006/relationships/hyperlink" Target="http://www.smc.edu/AboutSMC/Accreditation/Documents/2016/Standard%20IA%20Evidence/IA1_BT_Minutes_4-7-2015_excerpt.pdf" TargetMode="External"/><Relationship Id="rId27" Type="http://schemas.openxmlformats.org/officeDocument/2006/relationships/hyperlink" Target="http://www.smc.edu/AboutSMC/Accreditation/Documents/2016/Standard%20IA%20Evidence/IA1_2015_Institutional_Effectiveness_Report_excerpt.pdf" TargetMode="External"/><Relationship Id="rId43" Type="http://schemas.openxmlformats.org/officeDocument/2006/relationships/hyperlink" Target="http://www.smc.edu/AboutSMC/Accreditation/Documents/2016/Standard%20IA%20Evidence/IA1_Supplemental_Instruction_website.pdf" TargetMode="External"/><Relationship Id="rId48" Type="http://schemas.openxmlformats.org/officeDocument/2006/relationships/hyperlink" Target="http://www.smc.edu/AboutSMC/Accreditation/Documents/2016/Standard%20IA%20Evidence/IA2_ILOs_and_Core_Competencies_2013.pdf" TargetMode="External"/><Relationship Id="rId64" Type="http://schemas.openxmlformats.org/officeDocument/2006/relationships/hyperlink" Target="http://www.smc.edu/AboutSMC/Accreditation/Documents/2016/Standard%20IA%20Evidence/IA1_District_Planning_and_Advisory_Council_Board_Policy_2250.pdf" TargetMode="External"/><Relationship Id="rId69" Type="http://schemas.openxmlformats.org/officeDocument/2006/relationships/hyperlink" Target="IA2_Service-Learning_Program_website.pdf" TargetMode="External"/><Relationship Id="rId8" Type="http://schemas.openxmlformats.org/officeDocument/2006/relationships/hyperlink" Target="http://www.smc.edu/AboutSMC/Accreditation/Documents/2016/Standard%20IA%20Evidence/IA1_District_Planning_and_Advisory_Council_Board_Policy_2250.pdf" TargetMode="External"/><Relationship Id="rId51" Type="http://schemas.openxmlformats.org/officeDocument/2006/relationships/hyperlink" Target="IA3_Master_Plan_for_Education_2011-2012.pdf" TargetMode="External"/><Relationship Id="rId72" Type="http://schemas.openxmlformats.org/officeDocument/2006/relationships/hyperlink" Target="IA3_Program_Review_Summary_MPE_2015-2016.pdf" TargetMode="External"/><Relationship Id="rId80" Type="http://schemas.openxmlformats.org/officeDocument/2006/relationships/hyperlink" Target="http://www.smc.edu/AboutSMC/Accreditation/Documents/2016/Standard%20IA%20Evidence/IA3_DPAC_Minutes_9-9-2015.pdf" TargetMode="External"/><Relationship Id="rId85" Type="http://schemas.openxmlformats.org/officeDocument/2006/relationships/footer" Target="footer1.xm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www.smc.edu/AboutSMC/Accreditation/Documents/2016/Standard%20IA%20Evidence/IA4_District_Planning_%20Vision_Mission_and_Goals.pdf" TargetMode="External"/><Relationship Id="rId17" Type="http://schemas.openxmlformats.org/officeDocument/2006/relationships/hyperlink" Target="http://www.smc.edu/AboutSMC/Accreditation/Documents/2016/Standard%20IA%20Evidence/IA1_MPE_2015-2016.pdf" TargetMode="External"/><Relationship Id="rId25" Type="http://schemas.openxmlformats.org/officeDocument/2006/relationships/hyperlink" Target="http://www.smc.edu/AboutSMC/Accreditation/Documents/2016/Standard%20IA%20Evidence/IA3_2014_Institutional_Effectiveness_Report.pdf" TargetMode="External"/><Relationship Id="rId33" Type="http://schemas.openxmlformats.org/officeDocument/2006/relationships/hyperlink" Target="http://www.smc.edu/AboutSMC/Accreditation/Documents/2016/Standard%20IA%20Evidence/IA3_BT_Minutes_7-21-2015.pdf" TargetMode="External"/><Relationship Id="rId38" Type="http://schemas.openxmlformats.org/officeDocument/2006/relationships/hyperlink" Target="http://www.smc.edu/AboutSMC/Accreditation/Documents/2016/Standard%20IA%20Evidence/IA4_College_Catalog_2015-2016.pdf" TargetMode="External"/><Relationship Id="rId46" Type="http://schemas.openxmlformats.org/officeDocument/2006/relationships/hyperlink" Target="http://www.smc.edu/AboutSMC/Accreditation/Documents/2016/Standard%20IA%20Evidence/IA1_DPAC_Minutes_3-14-2012.pdf" TargetMode="External"/><Relationship Id="rId59" Type="http://schemas.openxmlformats.org/officeDocument/2006/relationships/hyperlink" Target="http://www.smc.edu/AboutSMC/Accreditation/Documents/2016/Standard%20IA%20Evidence/IA1_Program_Review_12-13_Fall_Madison_Project.pdf" TargetMode="External"/><Relationship Id="rId67" Type="http://schemas.openxmlformats.org/officeDocument/2006/relationships/hyperlink" Target="IA1_Prep2Test_website.pdf" TargetMode="External"/><Relationship Id="rId20" Type="http://schemas.openxmlformats.org/officeDocument/2006/relationships/hyperlink" Target="http://www.smc.edu/AboutSMC/Accreditation/Documents/2016/Standard%20IA%20Evidence/IA2_Institutional_Effectiveness_webpage.pdf" TargetMode="External"/><Relationship Id="rId41" Type="http://schemas.openxmlformats.org/officeDocument/2006/relationships/hyperlink" Target="http://www.smc.edu/AboutSMC/Accreditation/Documents/2016/Standard%20IA%20Evidence/IA2_Strategic_Planning_Task_Force_2011-2012.pdf" TargetMode="External"/><Relationship Id="rId54" Type="http://schemas.openxmlformats.org/officeDocument/2006/relationships/hyperlink" Target="IA3_SMC_Planning_Organization.jpg" TargetMode="External"/><Relationship Id="rId62" Type="http://schemas.openxmlformats.org/officeDocument/2006/relationships/hyperlink" Target="http://www.smc.edu/AboutSMC/Accreditation/Documents/2016/Standard%20IA%20Evidence/IA3_Academic_Senate_Objectives_MPE_2015-2016_Final.pdf" TargetMode="External"/><Relationship Id="rId70" Type="http://schemas.openxmlformats.org/officeDocument/2006/relationships/hyperlink" Target="IA3_DPAC_Minutes_7-9-2014.pdf" TargetMode="External"/><Relationship Id="rId75" Type="http://schemas.openxmlformats.org/officeDocument/2006/relationships/hyperlink" Target="http://www.smc.edu/AboutSMC/Accreditation/Documents/2016/Standard%20IA%20Evidence/IA1_SMC_Degrees_and_Certificates_Offered_by_Area_of_Study.pdf"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IA2_BT_Minutes_3-3-2015.pdf" TargetMode="External"/><Relationship Id="rId23" Type="http://schemas.openxmlformats.org/officeDocument/2006/relationships/hyperlink" Target="http://www.smc.edu/AboutSMC/Accreditation/Documents/2016/Standard%20IA%20Evidence/IA3_SMC_Planning_Organization.jpg" TargetMode="External"/><Relationship Id="rId28" Type="http://schemas.openxmlformats.org/officeDocument/2006/relationships/hyperlink" Target="http://www.smc.edu/AboutSMC/Accreditation/Documents/2016/Standard%20IA%20Evidence/IA2_2015_IE_Committee_Report_to_DPAC.pdf" TargetMode="External"/><Relationship Id="rId36" Type="http://schemas.openxmlformats.org/officeDocument/2006/relationships/hyperlink" Target="http://www.smc.edu/AboutSMC/Accreditation/Documents/2016/Standard%20IA%20Evidence/IA3_Annual_Program_Review_Forms_2013_Instrustional.pdf" TargetMode="External"/><Relationship Id="rId49" Type="http://schemas.openxmlformats.org/officeDocument/2006/relationships/hyperlink" Target="http://www.smc.edu/AboutSMC/Accreditation/Documents/2016/Standard%20IA%20Evidence/IA3_Grant_Status_Report_from_BT_Minutes_7-7-2015.pdf" TargetMode="External"/><Relationship Id="rId57" Type="http://schemas.openxmlformats.org/officeDocument/2006/relationships/hyperlink" Target="http://www.smc.edu/AboutSMC/Accreditation/Documents/2016/Standard%20IA%20Evidence/IA1_Educational_Goals_of_Santa_Monica_College-Students_Fall_2014.pdf" TargetMode="External"/><Relationship Id="rId10" Type="http://schemas.openxmlformats.org/officeDocument/2006/relationships/hyperlink" Target="http://www.smc.edu/AboutSMC/Accreditation/Documents/2016/Standard%20IA%20Evidence/IA1_2015_Dashboard_Report_excerpt.pdf" TargetMode="External"/><Relationship Id="rId31" Type="http://schemas.openxmlformats.org/officeDocument/2006/relationships/hyperlink" Target="http://www.smc.edu/AboutSMC/Accreditation/Documents/2016/Standard%20IA%20Evidence/IA1_Instructions_for_FT_Hiring_Requests_2015-2016.pdf" TargetMode="External"/><Relationship Id="rId44" Type="http://schemas.openxmlformats.org/officeDocument/2006/relationships/hyperlink" Target="http://www.smc.edu/AboutSMC/Accreditation/Documents/2016/Standard%20IA%20Evidence/IA2_2015_IE_Committee_Report_to_DPAC.pdf" TargetMode="External"/><Relationship Id="rId52" Type="http://schemas.openxmlformats.org/officeDocument/2006/relationships/hyperlink" Target="IA3_2011_Institutional_Effectiveness_Report.pdf" TargetMode="External"/><Relationship Id="rId60" Type="http://schemas.openxmlformats.org/officeDocument/2006/relationships/hyperlink" Target="http://www.smc.edu/AboutSMC/Accreditation/Documents/2016/Standard%20IA%20Evidence/IA3_Summary_of_Strategic_Initiatives_2006_and_2011.pdf" TargetMode="External"/><Relationship Id="rId65" Type="http://schemas.openxmlformats.org/officeDocument/2006/relationships/hyperlink" Target="http://www.smc.edu/AboutSMC/Accreditation/Documents/2016/Standard%20IA%20Evidence/IA1_Vision_Mission_and_Goals.pdf" TargetMode="External"/><Relationship Id="rId73" Type="http://schemas.openxmlformats.org/officeDocument/2006/relationships/hyperlink" Target="http://www.smc.edu/AboutSMC/Accreditation/Documents/2016/Standard%20IA%20Evidence/IA2_Institutional_Effectiveness-Joint_Committee_website.pdf" TargetMode="External"/><Relationship Id="rId78" Type="http://schemas.openxmlformats.org/officeDocument/2006/relationships/hyperlink" Target="http://www.smc.edu/AboutSMC/Accreditation/Documents/2016/Standard%20IA%20Evidence/IA2_Institutional_Effectiveness-Joint_Committee_website.pdf" TargetMode="External"/><Relationship Id="rId81" Type="http://schemas.openxmlformats.org/officeDocument/2006/relationships/hyperlink" Target="http://www.smc.edu/AboutSMC/Accreditation/Documents/2016/Standard%20IA%20Evidence/IA3_2015_Institutional_Effectiveness_Report.pdf"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mc.edu/AboutSMC/Accreditation/Documents/2016/Standard%20IA%20Evidence/IA3_Master_Plan_for_Facilities_2010_Update.pdf" TargetMode="External"/><Relationship Id="rId13" Type="http://schemas.openxmlformats.org/officeDocument/2006/relationships/hyperlink" Target="IA3_BT_Priorities_MPE_2015-2016.pdf" TargetMode="External"/><Relationship Id="rId18" Type="http://schemas.openxmlformats.org/officeDocument/2006/relationships/hyperlink" Target="http://www.smc.edu/AboutSMC/Accreditation/Documents/2016/Standard%20IA%20Evidence/IA3_BT_Agenda_10-6-2015_excerpt.pdf" TargetMode="External"/><Relationship Id="rId39" Type="http://schemas.openxmlformats.org/officeDocument/2006/relationships/hyperlink" Target="http://www.smc.edu/AboutSMC/Accreditation/Documents/2016/Standard%20IA%20Evidence/IA4_Board_of_Trustees_website.pdf" TargetMode="External"/><Relationship Id="rId34" Type="http://schemas.openxmlformats.org/officeDocument/2006/relationships/hyperlink" Target="http://www.smc.edu/AboutSMC/Accreditation/Documents/2016/Standard%20IA%20Evidence/IA4_SMC_In_Focus_Issue_5_10-16-2015.pdf" TargetMode="External"/><Relationship Id="rId50" Type="http://schemas.openxmlformats.org/officeDocument/2006/relationships/hyperlink" Target="IA1_District_Planning_and_Advisory_Council_Board_Policy_2250.pdf" TargetMode="External"/><Relationship Id="rId55" Type="http://schemas.openxmlformats.org/officeDocument/2006/relationships/hyperlink" Target="http://www.smc.edu/AboutSMC/Accreditation/Documents/2016/Standard%20IA%20Evidence/IA1_BT_Minutes_3-4-2014.pdf" TargetMode="External"/><Relationship Id="rId76" Type="http://schemas.openxmlformats.org/officeDocument/2006/relationships/hyperlink" Target="IA1_Demographic_Comparison_of_SMC-Online_Students_Fall_2013.pdf" TargetMode="External"/><Relationship Id="rId7" Type="http://schemas.openxmlformats.org/officeDocument/2006/relationships/endnotes" Target="endnotes.xml"/><Relationship Id="rId71" Type="http://schemas.openxmlformats.org/officeDocument/2006/relationships/hyperlink" Target="http://www.smc.edu/AboutSMC/Accreditation/Documents/2016/Standard%20IA%20Evidence/IA2_GRIT_Initiative_website.pdf"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www.smc.edu/AboutSMC/Accreditation/Documents/2016/Standard%20IA%20Evidence/IA2_2015_Dashboard_Report.pdf" TargetMode="External"/><Relationship Id="rId24" Type="http://schemas.openxmlformats.org/officeDocument/2006/relationships/hyperlink" Target="http://www.smc.edu/AboutSMC/Accreditation/Documents/2016/Standard%20IA%20Evidence/IA3_2013_Institutional_Effectiveness_Report.pdf" TargetMode="External"/><Relationship Id="rId40" Type="http://schemas.openxmlformats.org/officeDocument/2006/relationships/hyperlink" Target="http://www.smc.edu/AboutSMC/Accreditation/Documents/2016/Standard%20IA%20Evidence/IA3_MPE_2006.pdf" TargetMode="External"/><Relationship Id="rId45" Type="http://schemas.openxmlformats.org/officeDocument/2006/relationships/hyperlink" Target="http://www.smc.edu/AboutSMC/Accreditation/Documents/2016/Standard%20IA%20Evidence/IA1_SMC_website_Vision_Mission_and_Goals.pdf" TargetMode="External"/><Relationship Id="rId66" Type="http://schemas.openxmlformats.org/officeDocument/2006/relationships/hyperlink" Target="http://www.smc.edu/AboutSMC/Accreditation/Documents/2016/Standard%20IA%20Evidence/IA3_Technology_Objectives_14-15.pdf" TargetMode="External"/><Relationship Id="rId87" Type="http://schemas.openxmlformats.org/officeDocument/2006/relationships/header" Target="header3.xml"/><Relationship Id="rId61" Type="http://schemas.openxmlformats.org/officeDocument/2006/relationships/hyperlink" Target="http://www.smc.edu/AboutSMC/Accreditation/Documents/2016/Standard%20IA%20Evidence/IA1_DPAC_minutes_1-19-2011_FTE_Email_CB.pdf" TargetMode="External"/><Relationship Id="rId82" Type="http://schemas.openxmlformats.org/officeDocument/2006/relationships/hyperlink" Target="http://www.smc.edu/AboutSMC/Accreditation/Documents/2016/Standard%20IA%20Evidence/IA1_FirstYearExperience_and_RelatedSupportServicePrograms.pdf" TargetMode="External"/><Relationship Id="rId19" Type="http://schemas.openxmlformats.org/officeDocument/2006/relationships/hyperlink" Target="http://www.smc.edu/AboutSMC/Accreditation/Documents/2016/Standard%20IA%20Evidence/IA1_BT_Minutes_4-3-2012.pdf" TargetMode="External"/><Relationship Id="rId14" Type="http://schemas.openxmlformats.org/officeDocument/2006/relationships/hyperlink" Target="http://www.smc.edu/AboutSMC/Accreditation/Documents/2016/Standard%20IA%20Evidence/IA2_2015-2016_SMC_Student_Equity_Plan.pdf" TargetMode="External"/><Relationship Id="rId30" Type="http://schemas.openxmlformats.org/officeDocument/2006/relationships/hyperlink" Target="http://www.smc.edu/AboutSMC/Accreditation/Documents/2016/Standard%20IA%20Evidence/IA3_Master_Plan_Objective_Response_Form_2016-2017.pdf" TargetMode="External"/><Relationship Id="rId35" Type="http://schemas.openxmlformats.org/officeDocument/2006/relationships/hyperlink" Target="http://www.smc.edu/AboutSMC/Accreditation/Documents/2016/Standard%20IA%20Evidence/IA3_Technology_Objectives_MPE_2015-2016.pdf" TargetMode="External"/><Relationship Id="rId56" Type="http://schemas.openxmlformats.org/officeDocument/2006/relationships/hyperlink" Target="http://www.smc.edu/AboutSMC/Accreditation/Documents/2016/Standard%20IA%20Evidence/IA1_BT_Minutes_4-7-2015_excerpt.pdf" TargetMode="External"/><Relationship Id="rId77" Type="http://schemas.openxmlformats.org/officeDocument/2006/relationships/hyperlink" Target="IA1_SMC_catalog_15-16_excer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D47331-5852-4D72-B338-D0DE80432173}"/>
</file>

<file path=customXml/itemProps2.xml><?xml version="1.0" encoding="utf-8"?>
<ds:datastoreItem xmlns:ds="http://schemas.openxmlformats.org/officeDocument/2006/customXml" ds:itemID="{DA20E3F1-C627-47C5-A6EE-EC74445D649C}"/>
</file>

<file path=customXml/itemProps3.xml><?xml version="1.0" encoding="utf-8"?>
<ds:datastoreItem xmlns:ds="http://schemas.openxmlformats.org/officeDocument/2006/customXml" ds:itemID="{32D36554-B20D-4D68-B8C1-949C87E95E69}"/>
</file>

<file path=customXml/itemProps4.xml><?xml version="1.0" encoding="utf-8"?>
<ds:datastoreItem xmlns:ds="http://schemas.openxmlformats.org/officeDocument/2006/customXml" ds:itemID="{8A887F3A-C52F-426B-B9C6-282A67A8C53E}"/>
</file>

<file path=docProps/app.xml><?xml version="1.0" encoding="utf-8"?>
<Properties xmlns="http://schemas.openxmlformats.org/officeDocument/2006/extended-properties" xmlns:vt="http://schemas.openxmlformats.org/officeDocument/2006/docPropsVTypes">
  <Template>Normal.dotm</Template>
  <TotalTime>222</TotalTime>
  <Pages>24</Pages>
  <Words>9744</Words>
  <Characters>55543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IA</vt:lpstr>
    </vt:vector>
  </TitlesOfParts>
  <Company>Santa Monica College</Company>
  <LinksUpToDate>false</LinksUpToDate>
  <CharactersWithSpaces>65157</CharactersWithSpaces>
  <SharedDoc>false</SharedDoc>
  <HLinks>
    <vt:vector size="42" baseType="variant">
      <vt:variant>
        <vt:i4>524309</vt:i4>
      </vt:variant>
      <vt:variant>
        <vt:i4>0</vt:i4>
      </vt:variant>
      <vt:variant>
        <vt:i4>0</vt:i4>
      </vt:variant>
      <vt:variant>
        <vt:i4>5</vt:i4>
      </vt:variant>
      <vt:variant>
        <vt:lpwstr>http://smc.edu/StudentServices/TransferServices/Pages/Transfer-Admission-Guaranteed-Programs.aspx</vt:lpwstr>
      </vt:variant>
      <vt:variant>
        <vt:lpwstr/>
      </vt:variant>
      <vt:variant>
        <vt:i4>5701730</vt:i4>
      </vt:variant>
      <vt:variant>
        <vt:i4>15</vt:i4>
      </vt:variant>
      <vt:variant>
        <vt:i4>0</vt:i4>
      </vt:variant>
      <vt:variant>
        <vt:i4>5</vt:i4>
      </vt:variant>
      <vt:variant>
        <vt:lpwstr>http://www2.smc.edu/catalog/2014_2015/default.htm</vt:lpwstr>
      </vt:variant>
      <vt:variant>
        <vt:lpwstr/>
      </vt:variant>
      <vt:variant>
        <vt:i4>6881394</vt:i4>
      </vt:variant>
      <vt:variant>
        <vt:i4>12</vt:i4>
      </vt:variant>
      <vt:variant>
        <vt:i4>0</vt:i4>
      </vt:variant>
      <vt:variant>
        <vt:i4>5</vt:i4>
      </vt:variant>
      <vt:variant>
        <vt:lpwstr>http://www.smc.edu/ACG/DistrictPlanningPolicies/Pages/default.aspx</vt:lpwstr>
      </vt:variant>
      <vt:variant>
        <vt:lpwstr/>
      </vt:variant>
      <vt:variant>
        <vt:i4>5046343</vt:i4>
      </vt:variant>
      <vt:variant>
        <vt:i4>9</vt:i4>
      </vt:variant>
      <vt:variant>
        <vt:i4>0</vt:i4>
      </vt:variant>
      <vt:variant>
        <vt:i4>5</vt:i4>
      </vt:variant>
      <vt:variant>
        <vt:lpwstr>http://www.smc.edu/ACG/BoardofTrustees/Pages/default.aspx</vt:lpwstr>
      </vt:variant>
      <vt:variant>
        <vt:lpwstr/>
      </vt:variant>
      <vt:variant>
        <vt:i4>196610</vt:i4>
      </vt:variant>
      <vt:variant>
        <vt:i4>6</vt:i4>
      </vt:variant>
      <vt:variant>
        <vt:i4>0</vt:i4>
      </vt:variant>
      <vt:variant>
        <vt:i4>5</vt:i4>
      </vt:variant>
      <vt:variant>
        <vt:lpwstr>http://www.smc.edu/ACG/BoardofTrustees/Pages/Board-Policy-Manual.aspx</vt:lpwstr>
      </vt:variant>
      <vt:variant>
        <vt:lpwstr/>
      </vt:variant>
      <vt:variant>
        <vt:i4>6160472</vt:i4>
      </vt:variant>
      <vt:variant>
        <vt:i4>3</vt:i4>
      </vt:variant>
      <vt:variant>
        <vt:i4>0</vt:i4>
      </vt:variant>
      <vt:variant>
        <vt:i4>5</vt:i4>
      </vt:variant>
      <vt:variant>
        <vt:lpwstr>http://www.smc.edu/EnrollmentDevelopment/InstitutionalResearch/Documents/Reports/Other_Reports/FYE Results Summary_3-4-15.pdf</vt:lpwstr>
      </vt:variant>
      <vt:variant>
        <vt:lpwstr/>
      </vt:variant>
      <vt:variant>
        <vt:i4>852019</vt:i4>
      </vt:variant>
      <vt:variant>
        <vt:i4>0</vt:i4>
      </vt:variant>
      <vt:variant>
        <vt:i4>0</vt:i4>
      </vt:variant>
      <vt:variant>
        <vt:i4>5</vt:i4>
      </vt:variant>
      <vt:variant>
        <vt:lpwstr>http://www.smc.edu/EnrollmentDevelopment/InstitutionalResearch/Documents/Reports/Institutional_Effectiveness/2015 Dashboard Final.pdf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dc:title>
  <dc:creator>Christine Schultz</dc:creator>
  <cp:lastModifiedBy>ROJAS_DAN</cp:lastModifiedBy>
  <cp:revision>46</cp:revision>
  <cp:lastPrinted>2016-04-04T18:27:00Z</cp:lastPrinted>
  <dcterms:created xsi:type="dcterms:W3CDTF">2016-07-21T16:26:00Z</dcterms:created>
  <dcterms:modified xsi:type="dcterms:W3CDTF">2016-08-25T03:43:00Z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