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3.xml" ContentType="application/vnd.openxmlformats-officedocument.drawingml.chart+xml"/>
  <Override PartName="/word/theme/theme1.xml" ContentType="application/vnd.openxmlformats-officedocument.theme+xml"/>
  <Override PartName="/word/charts/chart12.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8.xml" ContentType="application/vnd.openxmlformats-officedocument.drawingml.chart+xml"/>
  <Override PartName="/word/charts/chart7.xml" ContentType="application/vnd.openxmlformats-officedocument.drawingml.chart+xml"/>
  <Override PartName="/word/charts/chart6.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6CF93D" w14:textId="56CA4770" w:rsidR="00F064D5" w:rsidRDefault="00106139" w:rsidP="00B71792">
      <w:pPr>
        <w:jc w:val="center"/>
        <w:rPr>
          <w:rFonts w:cs="Times New Roman"/>
        </w:rPr>
      </w:pPr>
      <w:r>
        <w:rPr>
          <w:rFonts w:cs="Times New Roman"/>
          <w:noProof/>
        </w:rPr>
        <w:drawing>
          <wp:anchor distT="0" distB="0" distL="114300" distR="114300" simplePos="0" relativeHeight="251690496" behindDoc="1" locked="0" layoutInCell="1" allowOverlap="1" wp14:anchorId="19080401" wp14:editId="0F8F2E14">
            <wp:simplePos x="0" y="0"/>
            <wp:positionH relativeFrom="column">
              <wp:posOffset>2159000</wp:posOffset>
            </wp:positionH>
            <wp:positionV relativeFrom="paragraph">
              <wp:posOffset>175260</wp:posOffset>
            </wp:positionV>
            <wp:extent cx="1485900" cy="1473835"/>
            <wp:effectExtent l="0" t="0" r="0" b="0"/>
            <wp:wrapThrough wrapText="bothSides">
              <wp:wrapPolygon edited="0">
                <wp:start x="0" y="0"/>
                <wp:lineTo x="0" y="21218"/>
                <wp:lineTo x="21323" y="21218"/>
                <wp:lineTo x="2132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1473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31403" w14:textId="57579A60" w:rsidR="00F064D5" w:rsidRDefault="00F064D5" w:rsidP="00F064D5">
      <w:pPr>
        <w:jc w:val="center"/>
        <w:rPr>
          <w:rFonts w:cs="Times New Roman"/>
          <w:b/>
        </w:rPr>
      </w:pPr>
    </w:p>
    <w:p w14:paraId="43BAD4EB" w14:textId="77777777" w:rsidR="00F064D5" w:rsidRDefault="00F064D5" w:rsidP="00F064D5">
      <w:pPr>
        <w:jc w:val="center"/>
        <w:rPr>
          <w:rFonts w:cs="Times New Roman"/>
          <w:b/>
        </w:rPr>
      </w:pPr>
    </w:p>
    <w:p w14:paraId="228EF5E3" w14:textId="77777777" w:rsidR="00106139" w:rsidRDefault="00106139" w:rsidP="00F064D5">
      <w:pPr>
        <w:jc w:val="center"/>
        <w:rPr>
          <w:rFonts w:cs="Times New Roman"/>
          <w:b/>
        </w:rPr>
      </w:pPr>
    </w:p>
    <w:p w14:paraId="617BC29B" w14:textId="77777777" w:rsidR="00106139" w:rsidRDefault="00106139" w:rsidP="00F064D5">
      <w:pPr>
        <w:jc w:val="center"/>
        <w:rPr>
          <w:rFonts w:cs="Times New Roman"/>
          <w:b/>
        </w:rPr>
      </w:pPr>
    </w:p>
    <w:p w14:paraId="63E5968A" w14:textId="77777777" w:rsidR="00106139" w:rsidRDefault="00106139" w:rsidP="00F064D5">
      <w:pPr>
        <w:jc w:val="center"/>
        <w:rPr>
          <w:rFonts w:cs="Times New Roman"/>
          <w:b/>
        </w:rPr>
      </w:pPr>
    </w:p>
    <w:p w14:paraId="79CD0AFD" w14:textId="77777777" w:rsidR="00106139" w:rsidRDefault="00106139" w:rsidP="00F064D5">
      <w:pPr>
        <w:jc w:val="center"/>
        <w:rPr>
          <w:rFonts w:cs="Times New Roman"/>
          <w:b/>
        </w:rPr>
      </w:pPr>
    </w:p>
    <w:p w14:paraId="4A2B8A77" w14:textId="77777777" w:rsidR="00106139" w:rsidRDefault="00106139" w:rsidP="00F064D5">
      <w:pPr>
        <w:jc w:val="center"/>
        <w:rPr>
          <w:rFonts w:cs="Times New Roman"/>
          <w:b/>
        </w:rPr>
      </w:pPr>
    </w:p>
    <w:p w14:paraId="036BC922" w14:textId="77777777" w:rsidR="00106139" w:rsidRDefault="00106139" w:rsidP="00F064D5">
      <w:pPr>
        <w:jc w:val="center"/>
        <w:rPr>
          <w:rFonts w:cs="Times New Roman"/>
          <w:b/>
        </w:rPr>
      </w:pPr>
    </w:p>
    <w:p w14:paraId="590FBEEB" w14:textId="77777777" w:rsidR="00106139" w:rsidRDefault="00106139" w:rsidP="00F064D5">
      <w:pPr>
        <w:jc w:val="center"/>
        <w:rPr>
          <w:rFonts w:cs="Times New Roman"/>
          <w:b/>
        </w:rPr>
      </w:pPr>
    </w:p>
    <w:p w14:paraId="4C1C2599" w14:textId="77777777" w:rsidR="00106139" w:rsidRDefault="00106139" w:rsidP="00F064D5">
      <w:pPr>
        <w:jc w:val="center"/>
        <w:rPr>
          <w:rFonts w:cs="Times New Roman"/>
          <w:b/>
        </w:rPr>
      </w:pPr>
    </w:p>
    <w:p w14:paraId="00B639B5" w14:textId="77777777" w:rsidR="0077263C" w:rsidRDefault="0077263C" w:rsidP="00F064D5">
      <w:pPr>
        <w:jc w:val="center"/>
        <w:rPr>
          <w:rFonts w:cs="Times New Roman"/>
          <w:b/>
        </w:rPr>
      </w:pPr>
    </w:p>
    <w:p w14:paraId="4504C8BD" w14:textId="127DE234" w:rsidR="00F064D5" w:rsidRPr="00807040" w:rsidRDefault="00B71792" w:rsidP="00F25393">
      <w:pPr>
        <w:pStyle w:val="Title"/>
        <w:jc w:val="center"/>
        <w:rPr>
          <w:sz w:val="36"/>
        </w:rPr>
      </w:pPr>
      <w:r>
        <w:rPr>
          <w:sz w:val="36"/>
        </w:rPr>
        <w:t xml:space="preserve">Institutional </w:t>
      </w:r>
      <w:r w:rsidR="00F064D5" w:rsidRPr="00807040">
        <w:rPr>
          <w:sz w:val="36"/>
        </w:rPr>
        <w:t>Self</w:t>
      </w:r>
      <w:r w:rsidR="00F25393" w:rsidRPr="00807040">
        <w:rPr>
          <w:sz w:val="36"/>
        </w:rPr>
        <w:t xml:space="preserve"> </w:t>
      </w:r>
      <w:r w:rsidR="00F064D5" w:rsidRPr="00807040">
        <w:rPr>
          <w:sz w:val="36"/>
        </w:rPr>
        <w:t>Evaluation Report for Educational Quality</w:t>
      </w:r>
    </w:p>
    <w:p w14:paraId="035FA2B2" w14:textId="389164CD" w:rsidR="00F064D5" w:rsidRPr="00807040" w:rsidRDefault="00F064D5" w:rsidP="00F25393">
      <w:pPr>
        <w:pStyle w:val="Title"/>
        <w:jc w:val="center"/>
        <w:rPr>
          <w:sz w:val="36"/>
        </w:rPr>
      </w:pPr>
      <w:r w:rsidRPr="00807040">
        <w:rPr>
          <w:sz w:val="36"/>
        </w:rPr>
        <w:t>and Institutional Effectiveness</w:t>
      </w:r>
    </w:p>
    <w:p w14:paraId="71870F37" w14:textId="06F1472E" w:rsidR="00F064D5" w:rsidRPr="00807040" w:rsidRDefault="00F064D5" w:rsidP="00F25393">
      <w:pPr>
        <w:pStyle w:val="Title"/>
        <w:jc w:val="center"/>
        <w:rPr>
          <w:sz w:val="36"/>
        </w:rPr>
      </w:pPr>
      <w:r w:rsidRPr="00807040">
        <w:rPr>
          <w:sz w:val="36"/>
        </w:rPr>
        <w:t>in Support of Reaffirmation of Accreditation</w:t>
      </w:r>
    </w:p>
    <w:p w14:paraId="7144723F" w14:textId="77777777" w:rsidR="00F064D5" w:rsidRPr="00855AD6" w:rsidRDefault="00F064D5" w:rsidP="00F064D5">
      <w:pPr>
        <w:jc w:val="center"/>
        <w:rPr>
          <w:rFonts w:ascii="Arial Black" w:hAnsi="Arial Black" w:cs="Arial"/>
          <w:sz w:val="20"/>
        </w:rPr>
      </w:pPr>
    </w:p>
    <w:p w14:paraId="117E842B" w14:textId="77777777" w:rsidR="00F064D5" w:rsidRPr="00F064D5" w:rsidRDefault="00F064D5" w:rsidP="00F064D5">
      <w:pPr>
        <w:jc w:val="center"/>
        <w:rPr>
          <w:rFonts w:ascii="Arial Black" w:hAnsi="Arial Black" w:cs="Arial"/>
        </w:rPr>
      </w:pPr>
    </w:p>
    <w:p w14:paraId="3DA11BF2" w14:textId="77777777" w:rsidR="00F064D5" w:rsidRPr="00F064D5" w:rsidRDefault="00F064D5" w:rsidP="00F064D5">
      <w:pPr>
        <w:jc w:val="center"/>
        <w:rPr>
          <w:rFonts w:ascii="Arial Black" w:hAnsi="Arial Black" w:cs="Arial"/>
        </w:rPr>
      </w:pPr>
    </w:p>
    <w:p w14:paraId="68B9E0D6" w14:textId="5004518E" w:rsidR="00F064D5" w:rsidRDefault="00F064D5" w:rsidP="00F064D5">
      <w:pPr>
        <w:jc w:val="center"/>
        <w:rPr>
          <w:rFonts w:ascii="Arial" w:hAnsi="Arial" w:cs="Arial"/>
        </w:rPr>
      </w:pPr>
      <w:r w:rsidRPr="00F064D5">
        <w:rPr>
          <w:rFonts w:ascii="Arial" w:hAnsi="Arial" w:cs="Arial"/>
        </w:rPr>
        <w:t>Submitted by:</w:t>
      </w:r>
    </w:p>
    <w:p w14:paraId="4A0279BD" w14:textId="77777777" w:rsidR="00F064D5" w:rsidRDefault="00F064D5" w:rsidP="00F064D5">
      <w:pPr>
        <w:jc w:val="center"/>
        <w:rPr>
          <w:rFonts w:ascii="Arial" w:hAnsi="Arial" w:cs="Arial"/>
        </w:rPr>
      </w:pPr>
    </w:p>
    <w:p w14:paraId="5C05361A" w14:textId="77777777" w:rsidR="00F064D5" w:rsidRDefault="00F064D5" w:rsidP="00F064D5">
      <w:pPr>
        <w:jc w:val="center"/>
        <w:rPr>
          <w:rFonts w:ascii="Arial" w:hAnsi="Arial" w:cs="Arial"/>
        </w:rPr>
      </w:pPr>
    </w:p>
    <w:p w14:paraId="4EF9799B" w14:textId="4BED0ADC" w:rsidR="00F064D5" w:rsidRDefault="00F064D5" w:rsidP="00F064D5">
      <w:pPr>
        <w:spacing w:before="60" w:after="60"/>
        <w:jc w:val="center"/>
        <w:rPr>
          <w:rFonts w:ascii="Arial" w:hAnsi="Arial" w:cs="Arial"/>
        </w:rPr>
      </w:pPr>
      <w:r>
        <w:rPr>
          <w:rFonts w:ascii="Arial" w:hAnsi="Arial" w:cs="Arial"/>
        </w:rPr>
        <w:t>Santa Monica College</w:t>
      </w:r>
    </w:p>
    <w:p w14:paraId="53BB1A4E" w14:textId="7A247AA5" w:rsidR="00F064D5" w:rsidRDefault="00F064D5" w:rsidP="00F064D5">
      <w:pPr>
        <w:spacing w:before="60" w:after="60"/>
        <w:jc w:val="center"/>
        <w:rPr>
          <w:rFonts w:ascii="Arial" w:hAnsi="Arial" w:cs="Arial"/>
        </w:rPr>
      </w:pPr>
      <w:r>
        <w:rPr>
          <w:rFonts w:ascii="Arial" w:hAnsi="Arial" w:cs="Arial"/>
        </w:rPr>
        <w:t>1900 Pico Boulevard</w:t>
      </w:r>
    </w:p>
    <w:p w14:paraId="5FC682AC" w14:textId="7255B838" w:rsidR="00F064D5" w:rsidRDefault="00F064D5" w:rsidP="00F064D5">
      <w:pPr>
        <w:spacing w:before="60" w:after="60"/>
        <w:jc w:val="center"/>
        <w:rPr>
          <w:rFonts w:ascii="Arial" w:hAnsi="Arial" w:cs="Arial"/>
        </w:rPr>
      </w:pPr>
      <w:r>
        <w:rPr>
          <w:rFonts w:ascii="Arial" w:hAnsi="Arial" w:cs="Arial"/>
        </w:rPr>
        <w:t>Santa Monica, CA  90405</w:t>
      </w:r>
    </w:p>
    <w:p w14:paraId="62712CB7" w14:textId="77777777" w:rsidR="00F064D5" w:rsidRDefault="00F064D5" w:rsidP="00F064D5">
      <w:pPr>
        <w:spacing w:line="276" w:lineRule="auto"/>
        <w:jc w:val="center"/>
        <w:rPr>
          <w:rFonts w:ascii="Arial" w:hAnsi="Arial" w:cs="Arial"/>
        </w:rPr>
      </w:pPr>
    </w:p>
    <w:p w14:paraId="2ACD4CD0" w14:textId="77777777" w:rsidR="00F064D5" w:rsidRDefault="00F064D5" w:rsidP="00F064D5">
      <w:pPr>
        <w:spacing w:line="276" w:lineRule="auto"/>
        <w:jc w:val="center"/>
        <w:rPr>
          <w:rFonts w:ascii="Arial" w:hAnsi="Arial" w:cs="Arial"/>
        </w:rPr>
      </w:pPr>
    </w:p>
    <w:p w14:paraId="2108835C" w14:textId="57517397" w:rsidR="00F064D5" w:rsidRDefault="00F064D5" w:rsidP="00F064D5">
      <w:pPr>
        <w:spacing w:line="276" w:lineRule="auto"/>
        <w:jc w:val="center"/>
        <w:rPr>
          <w:rFonts w:ascii="Arial" w:hAnsi="Arial" w:cs="Arial"/>
        </w:rPr>
      </w:pPr>
      <w:r>
        <w:rPr>
          <w:rFonts w:ascii="Arial" w:hAnsi="Arial" w:cs="Arial"/>
        </w:rPr>
        <w:t>Submitted to:</w:t>
      </w:r>
    </w:p>
    <w:p w14:paraId="5EA411F3" w14:textId="77777777" w:rsidR="00F064D5" w:rsidRDefault="00F064D5" w:rsidP="00F064D5">
      <w:pPr>
        <w:spacing w:line="276" w:lineRule="auto"/>
        <w:jc w:val="center"/>
        <w:rPr>
          <w:rFonts w:ascii="Arial" w:hAnsi="Arial" w:cs="Arial"/>
        </w:rPr>
      </w:pPr>
    </w:p>
    <w:p w14:paraId="6ACC394D" w14:textId="5A055DF4" w:rsidR="00F064D5" w:rsidRDefault="00F064D5" w:rsidP="00F064D5">
      <w:pPr>
        <w:spacing w:before="60" w:after="60"/>
        <w:jc w:val="center"/>
        <w:rPr>
          <w:rFonts w:ascii="Arial" w:hAnsi="Arial" w:cs="Arial"/>
        </w:rPr>
      </w:pPr>
      <w:r>
        <w:rPr>
          <w:rFonts w:ascii="Arial" w:hAnsi="Arial" w:cs="Arial"/>
        </w:rPr>
        <w:t>Accrediting Commission for Community and Junior Colleges</w:t>
      </w:r>
    </w:p>
    <w:p w14:paraId="293E6715" w14:textId="575723E0" w:rsidR="00F064D5" w:rsidRDefault="00F064D5" w:rsidP="00F064D5">
      <w:pPr>
        <w:spacing w:before="60" w:after="60"/>
        <w:jc w:val="center"/>
        <w:rPr>
          <w:rFonts w:ascii="Arial" w:hAnsi="Arial" w:cs="Arial"/>
        </w:rPr>
      </w:pPr>
      <w:r>
        <w:rPr>
          <w:rFonts w:ascii="Arial" w:hAnsi="Arial" w:cs="Arial"/>
        </w:rPr>
        <w:t xml:space="preserve">Western Association </w:t>
      </w:r>
      <w:r w:rsidR="00F25393">
        <w:rPr>
          <w:rFonts w:ascii="Arial" w:hAnsi="Arial" w:cs="Arial"/>
        </w:rPr>
        <w:t>of</w:t>
      </w:r>
      <w:r>
        <w:rPr>
          <w:rFonts w:ascii="Arial" w:hAnsi="Arial" w:cs="Arial"/>
        </w:rPr>
        <w:t xml:space="preserve"> Schools and Colleges</w:t>
      </w:r>
    </w:p>
    <w:p w14:paraId="1AF244DE" w14:textId="77777777" w:rsidR="00F064D5" w:rsidRDefault="00F064D5" w:rsidP="00F064D5">
      <w:pPr>
        <w:spacing w:line="276" w:lineRule="auto"/>
        <w:jc w:val="center"/>
        <w:rPr>
          <w:rFonts w:ascii="Arial" w:hAnsi="Arial" w:cs="Arial"/>
        </w:rPr>
      </w:pPr>
    </w:p>
    <w:p w14:paraId="0D95BE16" w14:textId="77777777" w:rsidR="00F064D5" w:rsidRDefault="00F064D5" w:rsidP="00F064D5">
      <w:pPr>
        <w:spacing w:line="276" w:lineRule="auto"/>
        <w:jc w:val="center"/>
        <w:rPr>
          <w:rFonts w:ascii="Arial" w:hAnsi="Arial" w:cs="Arial"/>
        </w:rPr>
      </w:pPr>
    </w:p>
    <w:p w14:paraId="44AA040B" w14:textId="496A00B9" w:rsidR="00F064D5" w:rsidRPr="00F064D5" w:rsidRDefault="00F064D5" w:rsidP="00F064D5">
      <w:pPr>
        <w:spacing w:line="276" w:lineRule="auto"/>
        <w:jc w:val="center"/>
        <w:rPr>
          <w:rFonts w:ascii="Arial" w:hAnsi="Arial" w:cs="Arial"/>
        </w:rPr>
      </w:pPr>
      <w:r>
        <w:rPr>
          <w:rFonts w:ascii="Arial" w:hAnsi="Arial" w:cs="Arial"/>
        </w:rPr>
        <w:t>August 2016</w:t>
      </w:r>
    </w:p>
    <w:p w14:paraId="4FA28F06" w14:textId="77777777" w:rsidR="00F064D5" w:rsidRPr="00F064D5" w:rsidRDefault="00F064D5" w:rsidP="00106139">
      <w:pPr>
        <w:jc w:val="center"/>
        <w:rPr>
          <w:rFonts w:ascii="Arial" w:hAnsi="Arial" w:cs="Arial"/>
        </w:rPr>
      </w:pPr>
    </w:p>
    <w:p w14:paraId="0F33D5B5" w14:textId="611928F7" w:rsidR="00F064D5" w:rsidRDefault="00DC7C37" w:rsidP="00106139">
      <w:pPr>
        <w:jc w:val="center"/>
        <w:rPr>
          <w:rFonts w:cs="Times New Roman"/>
          <w:b/>
        </w:rPr>
      </w:pPr>
      <w:r>
        <w:rPr>
          <w:rFonts w:cs="Times New Roman"/>
          <w:b/>
          <w:noProof/>
        </w:rPr>
        <w:object w:dxaOrig="1440" w:dyaOrig="1440" w14:anchorId="0EE4CA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181.25pt;margin-top:601.3pt;width:93.6pt;height:105.45pt;z-index:251689472;mso-position-horizontal-relative:text;mso-position-vertical-relative:page">
            <v:imagedata r:id="rId9" o:title="" croptop="4787f" cropbottom="3989f"/>
            <w10:wrap anchory="page"/>
          </v:shape>
          <o:OLEObject Type="Embed" ProgID="Acrobat.Document.11" ShapeID="_x0000_s1035" DrawAspect="Content" ObjectID="_1533576237" r:id="rId10"/>
        </w:object>
      </w:r>
    </w:p>
    <w:p w14:paraId="529A2B03" w14:textId="4FF76637" w:rsidR="00F064D5" w:rsidRDefault="00F064D5" w:rsidP="00106139">
      <w:pPr>
        <w:jc w:val="center"/>
        <w:rPr>
          <w:rFonts w:cs="Times New Roman"/>
          <w:b/>
        </w:rPr>
      </w:pPr>
    </w:p>
    <w:p w14:paraId="7F70FD02" w14:textId="1C96425B" w:rsidR="00F064D5" w:rsidRDefault="00F064D5" w:rsidP="00106139">
      <w:pPr>
        <w:jc w:val="center"/>
        <w:rPr>
          <w:rFonts w:cs="Times New Roman"/>
          <w:b/>
        </w:rPr>
      </w:pPr>
    </w:p>
    <w:p w14:paraId="43E190AC" w14:textId="3AE411D3" w:rsidR="00855AD6" w:rsidRDefault="00855AD6" w:rsidP="00106139">
      <w:pPr>
        <w:jc w:val="center"/>
        <w:rPr>
          <w:rFonts w:cs="Times New Roman"/>
          <w:b/>
        </w:rPr>
      </w:pPr>
    </w:p>
    <w:p w14:paraId="5948096E" w14:textId="77777777" w:rsidR="002736B5" w:rsidRDefault="002736B5" w:rsidP="00106139">
      <w:pPr>
        <w:jc w:val="center"/>
        <w:rPr>
          <w:rFonts w:cs="Times New Roman"/>
          <w:b/>
        </w:rPr>
      </w:pPr>
    </w:p>
    <w:p w14:paraId="4E752AEE" w14:textId="049D378E" w:rsidR="007C3E4E" w:rsidRDefault="007C3E4E" w:rsidP="00106139">
      <w:pPr>
        <w:jc w:val="center"/>
        <w:rPr>
          <w:rFonts w:cs="Times New Roman"/>
          <w:b/>
        </w:rPr>
      </w:pPr>
    </w:p>
    <w:p w14:paraId="2554B36E" w14:textId="1C210072" w:rsidR="00D05D0D" w:rsidRDefault="00D05D0D">
      <w:pPr>
        <w:rPr>
          <w:rFonts w:cs="Times New Roman"/>
          <w:b/>
        </w:rPr>
      </w:pPr>
      <w:r>
        <w:rPr>
          <w:rFonts w:cs="Times New Roman"/>
          <w:b/>
        </w:rPr>
        <w:br w:type="page"/>
      </w:r>
    </w:p>
    <w:p w14:paraId="7FFCC70C" w14:textId="7762BEAF" w:rsidR="00D05D0D" w:rsidRDefault="00DC7C37">
      <w:pPr>
        <w:rPr>
          <w:rFonts w:cs="Times New Roman"/>
          <w:b/>
        </w:rPr>
      </w:pPr>
      <w:r>
        <w:rPr>
          <w:noProof/>
        </w:rPr>
        <w:lastRenderedPageBreak/>
        <w:object w:dxaOrig="1440" w:dyaOrig="1440" w14:anchorId="0EE4CA26">
          <v:shape id="_x0000_s1028" type="#_x0000_t75" style="position:absolute;margin-left:0;margin-top:0;width:87.25pt;height:98.45pt;z-index:251683328;mso-wrap-style:square;mso-width-percent:0;mso-height-percent:0;mso-left-percent:-10001;mso-top-percent:-10001;mso-wrap-distance-left:9pt;mso-wrap-distance-top:0;mso-wrap-distance-right:9pt;mso-wrap-distance-bottom:0;mso-position-horizontal:center;mso-position-horizontal-relative:text;mso-position-vertical:center;mso-position-vertical-relative:page;mso-width-percent:0;mso-height-percent:0;mso-left-percent:-10001;mso-top-percent:-10001;mso-width-relative:page;mso-height-relative:page;mso-position-horizontal-col-start:0;mso-width-col-span:0;v-text-anchor:top">
            <v:imagedata r:id="rId9" o:title="" croptop="4766f" cropbottom="3972f"/>
            <w10:wrap anchory="page"/>
          </v:shape>
          <o:OLEObject Type="Embed" ProgID="Acrobat.Document.11" ShapeID="_x0000_s1028" DrawAspect="Content" ObjectID="_1533576238" r:id="rId11"/>
        </w:object>
      </w:r>
      <w:r w:rsidR="00D05D0D">
        <w:rPr>
          <w:rFonts w:cs="Times New Roman"/>
          <w:b/>
        </w:rPr>
        <w:br w:type="page"/>
      </w:r>
    </w:p>
    <w:p w14:paraId="33415FD8" w14:textId="6501B1DA" w:rsidR="00072FB2" w:rsidRDefault="001C373A">
      <w:pPr>
        <w:rPr>
          <w:rFonts w:cs="Times New Roman"/>
        </w:rPr>
      </w:pPr>
      <w:r>
        <w:rPr>
          <w:rFonts w:cs="Times New Roman"/>
          <w:noProof/>
        </w:rPr>
        <w:lastRenderedPageBreak/>
        <w:drawing>
          <wp:inline distT="0" distB="0" distL="0" distR="0" wp14:anchorId="3812EBD0" wp14:editId="464BBB74">
            <wp:extent cx="5759503" cy="6772781"/>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3409" cy="6777374"/>
                    </a:xfrm>
                    <a:prstGeom prst="rect">
                      <a:avLst/>
                    </a:prstGeom>
                    <a:noFill/>
                    <a:ln>
                      <a:noFill/>
                    </a:ln>
                  </pic:spPr>
                </pic:pic>
              </a:graphicData>
            </a:graphic>
          </wp:inline>
        </w:drawing>
      </w:r>
      <w:r w:rsidR="00072FB2">
        <w:rPr>
          <w:rFonts w:cs="Times New Roman"/>
        </w:rPr>
        <w:br w:type="page"/>
      </w:r>
      <w:r w:rsidR="00DC7C37">
        <w:rPr>
          <w:rFonts w:cs="Times New Roman"/>
          <w:noProof/>
        </w:rPr>
        <w:lastRenderedPageBreak/>
        <w:object w:dxaOrig="1440" w:dyaOrig="1440" w14:anchorId="0EE4CA26">
          <v:shape id="_x0000_s1029" type="#_x0000_t75" style="position:absolute;margin-left:0;margin-top:0;width:87.25pt;height:98.45pt;z-index:251684352;mso-position-horizontal:center;mso-position-horizontal-relative:text;mso-position-vertical:center;mso-position-vertical-relative:page">
            <v:imagedata r:id="rId9" o:title="" croptop="4766f" cropbottom="3972f"/>
            <w10:wrap anchory="page"/>
          </v:shape>
          <o:OLEObject Type="Embed" ProgID="Acrobat.Document.11" ShapeID="_x0000_s1029" DrawAspect="Content" ObjectID="_1533576239" r:id="rId13"/>
        </w:object>
      </w:r>
      <w:r w:rsidR="00072FB2">
        <w:rPr>
          <w:rFonts w:cs="Times New Roman"/>
        </w:rPr>
        <w:br w:type="page"/>
      </w:r>
    </w:p>
    <w:p w14:paraId="6A3ABDCF" w14:textId="77777777" w:rsidR="00072FB2" w:rsidRDefault="00072FB2">
      <w:pPr>
        <w:rPr>
          <w:rFonts w:cs="Times New Roman"/>
        </w:rPr>
      </w:pPr>
    </w:p>
    <w:p w14:paraId="36C121F9" w14:textId="1E5CD981" w:rsidR="00F25393" w:rsidRPr="00FE1147" w:rsidRDefault="006B2D41" w:rsidP="00FE1147">
      <w:pPr>
        <w:tabs>
          <w:tab w:val="left" w:pos="1170"/>
          <w:tab w:val="right" w:pos="9000"/>
        </w:tabs>
        <w:spacing w:before="360"/>
        <w:jc w:val="center"/>
        <w:rPr>
          <w:rFonts w:cs="Times New Roman"/>
          <w:b/>
          <w:sz w:val="28"/>
        </w:rPr>
      </w:pPr>
      <w:r w:rsidRPr="00FE1147">
        <w:rPr>
          <w:rFonts w:cs="Times New Roman"/>
          <w:b/>
          <w:sz w:val="28"/>
        </w:rPr>
        <w:t>BOARD OF TRUSTEES</w:t>
      </w:r>
    </w:p>
    <w:p w14:paraId="6B10DADD" w14:textId="7950EADD" w:rsidR="006B2D41" w:rsidRPr="006B2D41" w:rsidRDefault="006B2D41" w:rsidP="00B71792">
      <w:pPr>
        <w:tabs>
          <w:tab w:val="left" w:pos="1170"/>
          <w:tab w:val="right" w:pos="9000"/>
        </w:tabs>
        <w:spacing w:before="60" w:after="60"/>
        <w:jc w:val="center"/>
        <w:rPr>
          <w:rFonts w:cs="Times New Roman"/>
          <w:smallCaps/>
        </w:rPr>
      </w:pPr>
      <w:r w:rsidRPr="006B2D41">
        <w:rPr>
          <w:rFonts w:cs="Times New Roman"/>
          <w:smallCaps/>
        </w:rPr>
        <w:t>Dr. Louise Jaffee, Chair</w:t>
      </w:r>
    </w:p>
    <w:p w14:paraId="304F0F7B" w14:textId="25D21B2D" w:rsidR="006B2D41" w:rsidRPr="006B2D41" w:rsidRDefault="006B2D41" w:rsidP="00B71792">
      <w:pPr>
        <w:tabs>
          <w:tab w:val="left" w:pos="1170"/>
          <w:tab w:val="right" w:pos="9000"/>
        </w:tabs>
        <w:spacing w:before="60" w:after="60"/>
        <w:jc w:val="center"/>
        <w:rPr>
          <w:rFonts w:cs="Times New Roman"/>
          <w:smallCaps/>
        </w:rPr>
      </w:pPr>
      <w:r w:rsidRPr="006B2D41">
        <w:rPr>
          <w:rFonts w:cs="Times New Roman"/>
          <w:smallCaps/>
        </w:rPr>
        <w:t>Dr. Andrew Walzer, Vice Chair</w:t>
      </w:r>
    </w:p>
    <w:p w14:paraId="08696637" w14:textId="1501A0FC" w:rsidR="006B2D41" w:rsidRPr="006B2D41" w:rsidRDefault="006B2D41" w:rsidP="00B71792">
      <w:pPr>
        <w:tabs>
          <w:tab w:val="left" w:pos="1170"/>
          <w:tab w:val="right" w:pos="9000"/>
        </w:tabs>
        <w:spacing w:before="60" w:after="60"/>
        <w:jc w:val="center"/>
        <w:rPr>
          <w:rFonts w:cs="Times New Roman"/>
          <w:smallCaps/>
        </w:rPr>
      </w:pPr>
      <w:r w:rsidRPr="006B2D41">
        <w:rPr>
          <w:rFonts w:cs="Times New Roman"/>
          <w:smallCaps/>
        </w:rPr>
        <w:t>Dr. Susan Aminoff</w:t>
      </w:r>
    </w:p>
    <w:p w14:paraId="7A89ACE6" w14:textId="342656CF" w:rsidR="006B2D41" w:rsidRPr="006B2D41" w:rsidRDefault="006B2D41" w:rsidP="00B71792">
      <w:pPr>
        <w:tabs>
          <w:tab w:val="left" w:pos="1170"/>
          <w:tab w:val="right" w:pos="9000"/>
        </w:tabs>
        <w:spacing w:before="60" w:after="60"/>
        <w:jc w:val="center"/>
        <w:rPr>
          <w:rFonts w:cs="Times New Roman"/>
          <w:smallCaps/>
        </w:rPr>
      </w:pPr>
      <w:r w:rsidRPr="006B2D41">
        <w:rPr>
          <w:rFonts w:cs="Times New Roman"/>
          <w:smallCaps/>
        </w:rPr>
        <w:t>Dr. Nancy Greenstein</w:t>
      </w:r>
    </w:p>
    <w:p w14:paraId="3DDD19AB" w14:textId="20F61EA6" w:rsidR="006B2D41" w:rsidRPr="006B2D41" w:rsidRDefault="006B2D41" w:rsidP="00B71792">
      <w:pPr>
        <w:tabs>
          <w:tab w:val="left" w:pos="1170"/>
          <w:tab w:val="right" w:pos="9000"/>
        </w:tabs>
        <w:spacing w:before="60" w:after="60"/>
        <w:jc w:val="center"/>
        <w:rPr>
          <w:rFonts w:cs="Times New Roman"/>
          <w:smallCaps/>
        </w:rPr>
      </w:pPr>
      <w:r w:rsidRPr="006B2D41">
        <w:rPr>
          <w:rFonts w:cs="Times New Roman"/>
          <w:smallCaps/>
        </w:rPr>
        <w:t>Dr. Margaret Quinones-Perez</w:t>
      </w:r>
    </w:p>
    <w:p w14:paraId="1D0283AC" w14:textId="11356C7A" w:rsidR="006B2D41" w:rsidRPr="006B2D41" w:rsidRDefault="006B2D41" w:rsidP="00B71792">
      <w:pPr>
        <w:tabs>
          <w:tab w:val="left" w:pos="1170"/>
          <w:tab w:val="right" w:pos="9000"/>
        </w:tabs>
        <w:spacing w:before="60" w:after="60"/>
        <w:jc w:val="center"/>
        <w:rPr>
          <w:rFonts w:cs="Times New Roman"/>
          <w:smallCaps/>
        </w:rPr>
      </w:pPr>
      <w:r w:rsidRPr="006B2D41">
        <w:rPr>
          <w:rFonts w:cs="Times New Roman"/>
          <w:smallCaps/>
        </w:rPr>
        <w:t>Barry Snell</w:t>
      </w:r>
    </w:p>
    <w:p w14:paraId="498F3745" w14:textId="6CC012CF" w:rsidR="006B2D41" w:rsidRPr="006B2D41" w:rsidRDefault="006B2D41" w:rsidP="00B71792">
      <w:pPr>
        <w:tabs>
          <w:tab w:val="left" w:pos="1170"/>
          <w:tab w:val="right" w:pos="9000"/>
        </w:tabs>
        <w:spacing w:before="60" w:after="60"/>
        <w:jc w:val="center"/>
        <w:rPr>
          <w:rFonts w:cs="Times New Roman"/>
          <w:smallCaps/>
        </w:rPr>
      </w:pPr>
      <w:r w:rsidRPr="006B2D41">
        <w:rPr>
          <w:rFonts w:cs="Times New Roman"/>
          <w:smallCaps/>
        </w:rPr>
        <w:t>Rob Rader</w:t>
      </w:r>
    </w:p>
    <w:p w14:paraId="1F9E812B" w14:textId="7AF0EF68" w:rsidR="006B2D41" w:rsidRPr="006B2D41" w:rsidRDefault="003B240E" w:rsidP="00B71792">
      <w:pPr>
        <w:tabs>
          <w:tab w:val="left" w:pos="1170"/>
          <w:tab w:val="right" w:pos="9000"/>
        </w:tabs>
        <w:spacing w:before="60" w:after="60"/>
        <w:jc w:val="center"/>
        <w:rPr>
          <w:rFonts w:cs="Times New Roman"/>
          <w:smallCaps/>
        </w:rPr>
      </w:pPr>
      <w:r w:rsidRPr="003B240E">
        <w:rPr>
          <w:rFonts w:cs="Times New Roman"/>
          <w:smallCaps/>
        </w:rPr>
        <w:t>Laura Zwicker</w:t>
      </w:r>
      <w:r w:rsidR="006B2D41" w:rsidRPr="006B2D41">
        <w:rPr>
          <w:rFonts w:cs="Times New Roman"/>
          <w:smallCaps/>
        </w:rPr>
        <w:t>, Student Trustee</w:t>
      </w:r>
    </w:p>
    <w:p w14:paraId="1CC64AE2" w14:textId="610E0668" w:rsidR="006B2D41" w:rsidRPr="006B2D41" w:rsidRDefault="006B2D41" w:rsidP="00FE1147">
      <w:pPr>
        <w:tabs>
          <w:tab w:val="left" w:pos="1170"/>
          <w:tab w:val="right" w:pos="9000"/>
        </w:tabs>
        <w:spacing w:before="360"/>
        <w:jc w:val="center"/>
        <w:rPr>
          <w:rFonts w:asciiTheme="minorHAnsi" w:hAnsiTheme="minorHAnsi" w:cs="Times New Roman"/>
          <w:b/>
          <w:sz w:val="28"/>
        </w:rPr>
      </w:pPr>
      <w:r w:rsidRPr="006B2D41">
        <w:rPr>
          <w:rFonts w:cs="Times New Roman"/>
          <w:b/>
          <w:sz w:val="28"/>
        </w:rPr>
        <w:t>SUPERINTENDENT/PRESIDENT</w:t>
      </w:r>
    </w:p>
    <w:p w14:paraId="5825229E" w14:textId="6497A570" w:rsidR="006B2D41" w:rsidRPr="006B2D41" w:rsidRDefault="006B2D41" w:rsidP="00B71792">
      <w:pPr>
        <w:tabs>
          <w:tab w:val="left" w:pos="1170"/>
          <w:tab w:val="right" w:pos="9000"/>
        </w:tabs>
        <w:spacing w:before="60" w:after="60"/>
        <w:jc w:val="center"/>
        <w:rPr>
          <w:rFonts w:cs="Times New Roman"/>
          <w:smallCaps/>
        </w:rPr>
      </w:pPr>
      <w:r w:rsidRPr="006B2D41">
        <w:rPr>
          <w:rFonts w:cs="Times New Roman"/>
          <w:smallCaps/>
        </w:rPr>
        <w:t>Dr. Kathryn E. Jeffery</w:t>
      </w:r>
    </w:p>
    <w:p w14:paraId="28B29E65" w14:textId="37CAD2C2" w:rsidR="006B2D41" w:rsidRPr="00FE1147" w:rsidRDefault="006B2D41" w:rsidP="00FE1147">
      <w:pPr>
        <w:tabs>
          <w:tab w:val="left" w:pos="1170"/>
          <w:tab w:val="right" w:pos="9000"/>
        </w:tabs>
        <w:spacing w:before="360"/>
        <w:jc w:val="center"/>
        <w:rPr>
          <w:rFonts w:cs="Times New Roman"/>
          <w:b/>
          <w:sz w:val="28"/>
        </w:rPr>
      </w:pPr>
      <w:r w:rsidRPr="006B2D41">
        <w:rPr>
          <w:rFonts w:cs="Times New Roman"/>
          <w:b/>
          <w:sz w:val="28"/>
        </w:rPr>
        <w:t>ACCREDITAITON LIAISON OFFICER</w:t>
      </w:r>
    </w:p>
    <w:p w14:paraId="6F6A02A3" w14:textId="3DB3926B" w:rsidR="006B2D41" w:rsidRPr="006B2D41" w:rsidRDefault="006B2D41" w:rsidP="00B71792">
      <w:pPr>
        <w:tabs>
          <w:tab w:val="left" w:pos="1170"/>
          <w:tab w:val="right" w:pos="9000"/>
        </w:tabs>
        <w:spacing w:before="60" w:after="60"/>
        <w:jc w:val="center"/>
        <w:rPr>
          <w:rFonts w:cs="Times New Roman"/>
          <w:smallCaps/>
        </w:rPr>
      </w:pPr>
      <w:r w:rsidRPr="006B2D41">
        <w:rPr>
          <w:rFonts w:cs="Times New Roman"/>
          <w:smallCaps/>
        </w:rPr>
        <w:t>Dr. Georgia Lorenz</w:t>
      </w:r>
    </w:p>
    <w:p w14:paraId="702DF626" w14:textId="617924BD" w:rsidR="00FE1147" w:rsidRPr="00FE1147" w:rsidRDefault="00FE1147" w:rsidP="00FE1147">
      <w:pPr>
        <w:tabs>
          <w:tab w:val="left" w:pos="1170"/>
          <w:tab w:val="right" w:pos="9000"/>
        </w:tabs>
        <w:spacing w:before="360"/>
        <w:jc w:val="center"/>
        <w:rPr>
          <w:rFonts w:cs="Times New Roman"/>
          <w:b/>
          <w:sz w:val="28"/>
        </w:rPr>
      </w:pPr>
      <w:r w:rsidRPr="00FE1147">
        <w:rPr>
          <w:rFonts w:cs="Times New Roman"/>
          <w:b/>
          <w:caps/>
          <w:sz w:val="28"/>
        </w:rPr>
        <w:t>Assistant to the Accreditaiton Liaison Officer</w:t>
      </w:r>
    </w:p>
    <w:p w14:paraId="7F834D3C" w14:textId="34C302CA" w:rsidR="00FE1147" w:rsidRPr="00FE1147" w:rsidRDefault="00FE1147" w:rsidP="00B71792">
      <w:pPr>
        <w:tabs>
          <w:tab w:val="left" w:pos="1170"/>
          <w:tab w:val="right" w:pos="9000"/>
        </w:tabs>
        <w:spacing w:before="60" w:after="60"/>
        <w:jc w:val="center"/>
        <w:rPr>
          <w:rFonts w:cs="Times New Roman"/>
          <w:smallCaps/>
        </w:rPr>
      </w:pPr>
      <w:r w:rsidRPr="00FE1147">
        <w:rPr>
          <w:rFonts w:cs="Times New Roman"/>
          <w:smallCaps/>
        </w:rPr>
        <w:t>Rebecca Weiland</w:t>
      </w:r>
    </w:p>
    <w:p w14:paraId="2D04F6D4" w14:textId="38B0DCC5" w:rsidR="006B2D41" w:rsidRPr="00FE1147" w:rsidRDefault="006B2D41" w:rsidP="00FE1147">
      <w:pPr>
        <w:tabs>
          <w:tab w:val="left" w:pos="1170"/>
          <w:tab w:val="right" w:pos="9000"/>
        </w:tabs>
        <w:spacing w:before="360"/>
        <w:jc w:val="center"/>
        <w:rPr>
          <w:rFonts w:cs="Times New Roman"/>
          <w:b/>
          <w:sz w:val="28"/>
        </w:rPr>
      </w:pPr>
      <w:r w:rsidRPr="006B2D41">
        <w:rPr>
          <w:rFonts w:cs="Times New Roman"/>
          <w:b/>
          <w:sz w:val="28"/>
        </w:rPr>
        <w:t>ACCREDITATION SELF EVALUATION CO-CHAIRS</w:t>
      </w:r>
    </w:p>
    <w:p w14:paraId="6F745687" w14:textId="70620A03" w:rsidR="006B2D41" w:rsidRDefault="006B2D41" w:rsidP="00B71792">
      <w:pPr>
        <w:tabs>
          <w:tab w:val="left" w:pos="1170"/>
          <w:tab w:val="right" w:pos="9000"/>
        </w:tabs>
        <w:spacing w:before="60" w:after="60"/>
        <w:jc w:val="center"/>
        <w:rPr>
          <w:rFonts w:cs="Times New Roman"/>
          <w:smallCaps/>
        </w:rPr>
      </w:pPr>
      <w:r w:rsidRPr="006B2D41">
        <w:rPr>
          <w:rFonts w:cs="Times New Roman"/>
          <w:smallCaps/>
        </w:rPr>
        <w:t>Eve Adler</w:t>
      </w:r>
    </w:p>
    <w:p w14:paraId="5D285C19" w14:textId="0334C6E4" w:rsidR="006B2D41" w:rsidRPr="006B2D41" w:rsidRDefault="006B2D41" w:rsidP="00B71792">
      <w:pPr>
        <w:tabs>
          <w:tab w:val="left" w:pos="1170"/>
          <w:tab w:val="right" w:pos="9000"/>
        </w:tabs>
        <w:spacing w:before="60" w:after="60"/>
        <w:jc w:val="center"/>
        <w:rPr>
          <w:rFonts w:cs="Times New Roman"/>
          <w:smallCaps/>
        </w:rPr>
      </w:pPr>
      <w:r w:rsidRPr="006B2D41">
        <w:rPr>
          <w:rFonts w:cs="Times New Roman"/>
          <w:smallCaps/>
        </w:rPr>
        <w:t>Erica LeBlanc</w:t>
      </w:r>
    </w:p>
    <w:p w14:paraId="1ABEC1D1" w14:textId="187A5300" w:rsidR="006B2D41" w:rsidRPr="00FE1147" w:rsidRDefault="006B2D41" w:rsidP="00FE1147">
      <w:pPr>
        <w:tabs>
          <w:tab w:val="left" w:pos="1170"/>
          <w:tab w:val="right" w:pos="9000"/>
        </w:tabs>
        <w:spacing w:before="360"/>
        <w:jc w:val="center"/>
        <w:rPr>
          <w:rFonts w:cs="Times New Roman"/>
          <w:b/>
          <w:sz w:val="28"/>
        </w:rPr>
      </w:pPr>
      <w:r w:rsidRPr="006B2D41">
        <w:rPr>
          <w:rFonts w:cs="Times New Roman"/>
          <w:b/>
          <w:sz w:val="28"/>
        </w:rPr>
        <w:t>ACCREDITATION SELF-EVALUATION CO-EDITORS</w:t>
      </w:r>
    </w:p>
    <w:p w14:paraId="2D84C509" w14:textId="0C4741CE" w:rsidR="006B2D41" w:rsidRDefault="006B2D41" w:rsidP="00B71792">
      <w:pPr>
        <w:tabs>
          <w:tab w:val="left" w:pos="1170"/>
          <w:tab w:val="right" w:pos="9000"/>
        </w:tabs>
        <w:spacing w:before="60" w:after="60"/>
        <w:jc w:val="center"/>
        <w:rPr>
          <w:rFonts w:cs="Times New Roman"/>
          <w:smallCaps/>
        </w:rPr>
      </w:pPr>
      <w:r w:rsidRPr="006B2D41">
        <w:rPr>
          <w:rFonts w:cs="Times New Roman"/>
          <w:smallCaps/>
        </w:rPr>
        <w:t xml:space="preserve">Eleni </w:t>
      </w:r>
      <w:r>
        <w:rPr>
          <w:rFonts w:cs="Times New Roman"/>
          <w:smallCaps/>
        </w:rPr>
        <w:t>Hioureas</w:t>
      </w:r>
    </w:p>
    <w:p w14:paraId="5987B127" w14:textId="4D3206A4" w:rsidR="006B2D41" w:rsidRPr="006B2D41" w:rsidRDefault="006B2D41" w:rsidP="00B71792">
      <w:pPr>
        <w:tabs>
          <w:tab w:val="left" w:pos="1170"/>
          <w:tab w:val="right" w:pos="9000"/>
        </w:tabs>
        <w:spacing w:before="60" w:after="60"/>
        <w:jc w:val="center"/>
        <w:rPr>
          <w:rFonts w:cs="Times New Roman"/>
          <w:smallCaps/>
        </w:rPr>
      </w:pPr>
      <w:r w:rsidRPr="006B2D41">
        <w:rPr>
          <w:rFonts w:cs="Times New Roman"/>
          <w:smallCaps/>
        </w:rPr>
        <w:t>Laurie McQuay-Peninger</w:t>
      </w:r>
    </w:p>
    <w:p w14:paraId="7C9DD533" w14:textId="5529092C" w:rsidR="006B2D41" w:rsidRPr="00FE1147" w:rsidRDefault="006B2D41" w:rsidP="00FE1147">
      <w:pPr>
        <w:tabs>
          <w:tab w:val="left" w:pos="1170"/>
          <w:tab w:val="right" w:pos="9000"/>
        </w:tabs>
        <w:spacing w:before="360"/>
        <w:jc w:val="center"/>
        <w:rPr>
          <w:rFonts w:cs="Times New Roman"/>
          <w:b/>
          <w:sz w:val="28"/>
        </w:rPr>
      </w:pPr>
      <w:r w:rsidRPr="006B2D41">
        <w:rPr>
          <w:rFonts w:cs="Times New Roman"/>
          <w:b/>
          <w:sz w:val="28"/>
        </w:rPr>
        <w:t>ACADEMIC SENATE P</w:t>
      </w:r>
      <w:r w:rsidR="00FE1147">
        <w:rPr>
          <w:rFonts w:cs="Times New Roman"/>
          <w:b/>
          <w:sz w:val="28"/>
        </w:rPr>
        <w:t>R</w:t>
      </w:r>
      <w:r w:rsidRPr="006B2D41">
        <w:rPr>
          <w:rFonts w:cs="Times New Roman"/>
          <w:b/>
          <w:sz w:val="28"/>
        </w:rPr>
        <w:t>ESIDENT</w:t>
      </w:r>
    </w:p>
    <w:p w14:paraId="731CE207" w14:textId="5320F258" w:rsidR="006B2D41" w:rsidRPr="006B2D41" w:rsidRDefault="006B2D41" w:rsidP="00B71792">
      <w:pPr>
        <w:tabs>
          <w:tab w:val="left" w:pos="1170"/>
          <w:tab w:val="right" w:pos="9000"/>
        </w:tabs>
        <w:spacing w:before="60" w:after="60"/>
        <w:jc w:val="center"/>
        <w:rPr>
          <w:rFonts w:cs="Times New Roman"/>
          <w:smallCaps/>
        </w:rPr>
      </w:pPr>
      <w:r w:rsidRPr="006B2D41">
        <w:rPr>
          <w:rFonts w:cs="Times New Roman"/>
          <w:smallCaps/>
        </w:rPr>
        <w:t>Fran Chandler</w:t>
      </w:r>
    </w:p>
    <w:p w14:paraId="2949C693" w14:textId="6A90A6D5" w:rsidR="00072FB2" w:rsidRDefault="00072FB2">
      <w:pPr>
        <w:rPr>
          <w:rFonts w:cs="Times New Roman"/>
        </w:rPr>
      </w:pPr>
      <w:r>
        <w:rPr>
          <w:rFonts w:cs="Times New Roman"/>
        </w:rPr>
        <w:br w:type="page"/>
      </w:r>
    </w:p>
    <w:p w14:paraId="4A5D2427" w14:textId="77250EFE" w:rsidR="00072FB2" w:rsidRDefault="00DC7C37">
      <w:pPr>
        <w:rPr>
          <w:rFonts w:cs="Times New Roman"/>
        </w:rPr>
      </w:pPr>
      <w:r>
        <w:rPr>
          <w:rFonts w:cs="Times New Roman"/>
          <w:noProof/>
        </w:rPr>
        <w:lastRenderedPageBreak/>
        <w:object w:dxaOrig="1440" w:dyaOrig="1440" w14:anchorId="0EE4CA26">
          <v:shape id="_x0000_s1030" type="#_x0000_t75" style="position:absolute;margin-left:0;margin-top:0;width:87.25pt;height:98.45pt;z-index:251685376;mso-wrap-style:square;mso-width-percent:0;mso-height-percent:0;mso-left-percent:-10001;mso-top-percent:-10001;mso-wrap-distance-left:9pt;mso-wrap-distance-top:0;mso-wrap-distance-right:9pt;mso-wrap-distance-bottom:0;mso-position-horizontal:center;mso-position-horizontal-relative:text;mso-position-vertical:center;mso-position-vertical-relative:page;mso-width-percent:0;mso-height-percent:0;mso-left-percent:-10001;mso-top-percent:-10001;mso-width-relative:page;mso-height-relative:page;mso-position-horizontal-col-start:0;mso-width-col-span:0;v-text-anchor:top">
            <v:imagedata r:id="rId9" o:title="" croptop="4766f" cropbottom="3972f"/>
            <w10:wrap anchory="page"/>
          </v:shape>
          <o:OLEObject Type="Embed" ProgID="Acrobat.Document.11" ShapeID="_x0000_s1030" DrawAspect="Content" ObjectID="_1533576240" r:id="rId14"/>
        </w:object>
      </w:r>
      <w:r w:rsidR="00072FB2">
        <w:rPr>
          <w:rFonts w:cs="Times New Roman"/>
        </w:rPr>
        <w:br w:type="page"/>
      </w:r>
    </w:p>
    <w:p w14:paraId="415F7FEB" w14:textId="209FB0AE" w:rsidR="006B2D41" w:rsidRDefault="006B2D41">
      <w:pPr>
        <w:rPr>
          <w:rFonts w:cs="Times New Roman"/>
        </w:rPr>
      </w:pPr>
    </w:p>
    <w:p w14:paraId="32032528" w14:textId="0BC8690D" w:rsidR="00F25393" w:rsidRDefault="006B2D41" w:rsidP="009D2A05">
      <w:pPr>
        <w:pStyle w:val="Heading1"/>
      </w:pPr>
      <w:r w:rsidRPr="006B2D41">
        <w:t>Table of Contents</w:t>
      </w:r>
      <w:r>
        <w:tab/>
      </w:r>
    </w:p>
    <w:p w14:paraId="2272D77D" w14:textId="77777777" w:rsidR="006B2D41" w:rsidRDefault="006B2D41" w:rsidP="006B2D41"/>
    <w:p w14:paraId="1D9E2BFB" w14:textId="7ADEA6E5" w:rsidR="00886491" w:rsidRPr="00DD621A" w:rsidRDefault="00657C36" w:rsidP="00DD621A">
      <w:pPr>
        <w:tabs>
          <w:tab w:val="decimal" w:leader="dot" w:pos="8910"/>
        </w:tabs>
        <w:rPr>
          <w:rFonts w:asciiTheme="majorHAnsi" w:hAnsiTheme="majorHAnsi"/>
          <w:b/>
        </w:rPr>
      </w:pPr>
      <w:r w:rsidRPr="00DD621A">
        <w:rPr>
          <w:rFonts w:asciiTheme="majorHAnsi" w:hAnsiTheme="majorHAnsi"/>
          <w:b/>
        </w:rPr>
        <w:t>Santa Monica College History</w:t>
      </w:r>
      <w:r w:rsidR="00746A76" w:rsidRPr="00DD621A">
        <w:rPr>
          <w:rFonts w:asciiTheme="majorHAnsi" w:hAnsiTheme="majorHAnsi"/>
          <w:b/>
        </w:rPr>
        <w:tab/>
      </w:r>
      <w:r w:rsidR="0079127C">
        <w:rPr>
          <w:rFonts w:asciiTheme="majorHAnsi" w:hAnsiTheme="majorHAnsi"/>
          <w:b/>
        </w:rPr>
        <w:t>1</w:t>
      </w:r>
    </w:p>
    <w:p w14:paraId="48C2D369" w14:textId="77777777" w:rsidR="00724374" w:rsidRDefault="00724374" w:rsidP="00724374">
      <w:pPr>
        <w:tabs>
          <w:tab w:val="left" w:pos="540"/>
          <w:tab w:val="left" w:pos="1080"/>
          <w:tab w:val="decimal" w:leader="dot" w:pos="8910"/>
        </w:tabs>
        <w:rPr>
          <w:rFonts w:asciiTheme="majorHAnsi" w:hAnsiTheme="majorHAnsi"/>
        </w:rPr>
      </w:pPr>
    </w:p>
    <w:p w14:paraId="324A8A87" w14:textId="05C0F1B2" w:rsidR="00724374" w:rsidRDefault="00724374" w:rsidP="00657C36">
      <w:pPr>
        <w:tabs>
          <w:tab w:val="decimal" w:leader="dot" w:pos="8910"/>
        </w:tabs>
        <w:rPr>
          <w:rFonts w:asciiTheme="majorHAnsi" w:hAnsiTheme="majorHAnsi"/>
        </w:rPr>
      </w:pPr>
      <w:r w:rsidRPr="00724374">
        <w:rPr>
          <w:rFonts w:asciiTheme="majorHAnsi" w:hAnsiTheme="majorHAnsi"/>
          <w:b/>
        </w:rPr>
        <w:t>Student Achievement Data and Institution-Set Standards</w:t>
      </w:r>
      <w:r w:rsidR="0079127C">
        <w:rPr>
          <w:rFonts w:asciiTheme="majorHAnsi" w:hAnsiTheme="majorHAnsi"/>
          <w:b/>
        </w:rPr>
        <w:tab/>
        <w:t>3</w:t>
      </w:r>
    </w:p>
    <w:p w14:paraId="6CEA5558" w14:textId="77777777" w:rsidR="00E82E7A" w:rsidRDefault="00E82E7A" w:rsidP="003D4C4D">
      <w:pPr>
        <w:tabs>
          <w:tab w:val="left" w:pos="540"/>
          <w:tab w:val="decimal" w:leader="dot" w:pos="8910"/>
        </w:tabs>
        <w:rPr>
          <w:rFonts w:asciiTheme="majorHAnsi" w:hAnsiTheme="majorHAnsi"/>
        </w:rPr>
      </w:pPr>
    </w:p>
    <w:p w14:paraId="7683E766" w14:textId="792EB4FD" w:rsidR="00E82E7A" w:rsidRPr="00DD621A" w:rsidRDefault="00E82E7A" w:rsidP="00DD621A">
      <w:pPr>
        <w:tabs>
          <w:tab w:val="decimal" w:leader="dot" w:pos="8910"/>
        </w:tabs>
        <w:rPr>
          <w:rFonts w:asciiTheme="majorHAnsi" w:hAnsiTheme="majorHAnsi"/>
          <w:b/>
        </w:rPr>
      </w:pPr>
      <w:r w:rsidRPr="00E82E7A">
        <w:rPr>
          <w:rFonts w:asciiTheme="majorHAnsi" w:hAnsiTheme="majorHAnsi"/>
          <w:b/>
        </w:rPr>
        <w:t>Organization of the Self Evaluation Process</w:t>
      </w:r>
      <w:r w:rsidR="0079127C">
        <w:rPr>
          <w:rFonts w:asciiTheme="majorHAnsi" w:hAnsiTheme="majorHAnsi"/>
          <w:b/>
        </w:rPr>
        <w:tab/>
        <w:t>25</w:t>
      </w:r>
    </w:p>
    <w:p w14:paraId="18682BBD" w14:textId="77777777" w:rsidR="00E82E7A" w:rsidRDefault="00E82E7A" w:rsidP="00E82E7A">
      <w:pPr>
        <w:rPr>
          <w:rFonts w:asciiTheme="majorHAnsi" w:hAnsiTheme="majorHAnsi"/>
        </w:rPr>
      </w:pPr>
    </w:p>
    <w:p w14:paraId="6F62A116" w14:textId="772F080A" w:rsidR="00E82E7A" w:rsidRPr="00E82E7A" w:rsidRDefault="00E82E7A" w:rsidP="00DD621A">
      <w:pPr>
        <w:tabs>
          <w:tab w:val="decimal" w:leader="dot" w:pos="8910"/>
        </w:tabs>
        <w:rPr>
          <w:rFonts w:asciiTheme="majorHAnsi" w:hAnsiTheme="majorHAnsi"/>
          <w:b/>
        </w:rPr>
      </w:pPr>
      <w:r w:rsidRPr="00E82E7A">
        <w:rPr>
          <w:rFonts w:asciiTheme="majorHAnsi" w:hAnsiTheme="majorHAnsi"/>
          <w:b/>
        </w:rPr>
        <w:t>Organizational Information</w:t>
      </w:r>
      <w:r w:rsidR="00DD621A">
        <w:rPr>
          <w:rFonts w:asciiTheme="majorHAnsi" w:hAnsiTheme="majorHAnsi"/>
          <w:b/>
        </w:rPr>
        <w:tab/>
        <w:t>3</w:t>
      </w:r>
      <w:r w:rsidR="0079127C">
        <w:rPr>
          <w:rFonts w:asciiTheme="majorHAnsi" w:hAnsiTheme="majorHAnsi"/>
          <w:b/>
        </w:rPr>
        <w:t>1</w:t>
      </w:r>
    </w:p>
    <w:p w14:paraId="07EF048E" w14:textId="77777777" w:rsidR="00E82E7A" w:rsidRDefault="00E82E7A" w:rsidP="003D4C4D">
      <w:pPr>
        <w:tabs>
          <w:tab w:val="left" w:pos="540"/>
          <w:tab w:val="decimal" w:leader="dot" w:pos="8910"/>
        </w:tabs>
        <w:rPr>
          <w:rFonts w:asciiTheme="majorHAnsi" w:hAnsiTheme="majorHAnsi"/>
        </w:rPr>
      </w:pPr>
    </w:p>
    <w:p w14:paraId="5840C758" w14:textId="253D9570" w:rsidR="00E82E7A" w:rsidRPr="00E82E7A" w:rsidRDefault="00E82E7A" w:rsidP="00DD621A">
      <w:pPr>
        <w:tabs>
          <w:tab w:val="decimal" w:leader="dot" w:pos="8910"/>
        </w:tabs>
        <w:rPr>
          <w:rFonts w:asciiTheme="majorHAnsi" w:hAnsiTheme="majorHAnsi"/>
          <w:b/>
        </w:rPr>
      </w:pPr>
      <w:r w:rsidRPr="00E82E7A">
        <w:rPr>
          <w:rFonts w:asciiTheme="majorHAnsi" w:hAnsiTheme="majorHAnsi"/>
          <w:b/>
        </w:rPr>
        <w:t>Certification of Continued Institutional Compliance with Eligibility Requirements</w:t>
      </w:r>
      <w:r w:rsidR="00DD621A">
        <w:rPr>
          <w:rFonts w:asciiTheme="majorHAnsi" w:hAnsiTheme="majorHAnsi"/>
          <w:b/>
        </w:rPr>
        <w:tab/>
      </w:r>
      <w:r w:rsidR="0079127C">
        <w:rPr>
          <w:rFonts w:asciiTheme="majorHAnsi" w:hAnsiTheme="majorHAnsi"/>
          <w:b/>
        </w:rPr>
        <w:t>39</w:t>
      </w:r>
    </w:p>
    <w:p w14:paraId="50BF5CD6" w14:textId="77777777" w:rsidR="00E82E7A" w:rsidRDefault="00E82E7A" w:rsidP="003D4C4D">
      <w:pPr>
        <w:tabs>
          <w:tab w:val="left" w:pos="540"/>
          <w:tab w:val="decimal" w:leader="dot" w:pos="8910"/>
        </w:tabs>
        <w:rPr>
          <w:rFonts w:asciiTheme="majorHAnsi" w:hAnsiTheme="majorHAnsi"/>
        </w:rPr>
      </w:pPr>
    </w:p>
    <w:p w14:paraId="74DE13AE" w14:textId="1483C18E" w:rsidR="00E82E7A" w:rsidRPr="00E82E7A" w:rsidRDefault="00E82E7A" w:rsidP="00DD621A">
      <w:pPr>
        <w:tabs>
          <w:tab w:val="decimal" w:leader="dot" w:pos="8910"/>
        </w:tabs>
        <w:rPr>
          <w:rFonts w:asciiTheme="majorHAnsi" w:hAnsiTheme="majorHAnsi"/>
          <w:b/>
        </w:rPr>
      </w:pPr>
      <w:r w:rsidRPr="00E82E7A">
        <w:rPr>
          <w:rFonts w:asciiTheme="majorHAnsi" w:hAnsiTheme="majorHAnsi"/>
          <w:b/>
        </w:rPr>
        <w:t>Certification of Continued Institutional Compliance with Commission Policies</w:t>
      </w:r>
      <w:r w:rsidR="00DD621A">
        <w:rPr>
          <w:rFonts w:asciiTheme="majorHAnsi" w:hAnsiTheme="majorHAnsi"/>
          <w:b/>
        </w:rPr>
        <w:tab/>
      </w:r>
      <w:r w:rsidR="0079127C">
        <w:rPr>
          <w:rFonts w:asciiTheme="majorHAnsi" w:hAnsiTheme="majorHAnsi"/>
          <w:b/>
        </w:rPr>
        <w:t>40</w:t>
      </w:r>
    </w:p>
    <w:p w14:paraId="39519091" w14:textId="77777777" w:rsidR="00E82E7A" w:rsidRDefault="00E82E7A" w:rsidP="003D4C4D">
      <w:pPr>
        <w:tabs>
          <w:tab w:val="left" w:pos="540"/>
          <w:tab w:val="decimal" w:leader="dot" w:pos="8910"/>
        </w:tabs>
        <w:rPr>
          <w:rFonts w:asciiTheme="majorHAnsi" w:hAnsiTheme="majorHAnsi"/>
        </w:rPr>
      </w:pPr>
    </w:p>
    <w:p w14:paraId="482C6D76" w14:textId="465E8566" w:rsidR="00E82E7A" w:rsidRPr="00724374" w:rsidRDefault="00E82E7A" w:rsidP="00DD621A">
      <w:pPr>
        <w:tabs>
          <w:tab w:val="decimal" w:leader="dot" w:pos="8910"/>
        </w:tabs>
        <w:rPr>
          <w:rFonts w:asciiTheme="majorHAnsi" w:hAnsiTheme="majorHAnsi"/>
          <w:b/>
        </w:rPr>
      </w:pPr>
      <w:r w:rsidRPr="00724374">
        <w:rPr>
          <w:rFonts w:asciiTheme="majorHAnsi" w:hAnsiTheme="majorHAnsi"/>
          <w:b/>
        </w:rPr>
        <w:t>Standard I</w:t>
      </w:r>
      <w:r w:rsidR="0079127C">
        <w:rPr>
          <w:rFonts w:asciiTheme="majorHAnsi" w:hAnsiTheme="majorHAnsi"/>
          <w:b/>
        </w:rPr>
        <w:tab/>
        <w:t>55</w:t>
      </w:r>
    </w:p>
    <w:p w14:paraId="23E2A1AB" w14:textId="77777777" w:rsidR="00E82E7A" w:rsidRPr="00724374" w:rsidRDefault="00E82E7A" w:rsidP="003D4C4D">
      <w:pPr>
        <w:tabs>
          <w:tab w:val="left" w:pos="540"/>
          <w:tab w:val="decimal" w:leader="dot" w:pos="8910"/>
        </w:tabs>
        <w:rPr>
          <w:rFonts w:asciiTheme="majorHAnsi" w:hAnsiTheme="majorHAnsi"/>
          <w:b/>
        </w:rPr>
      </w:pPr>
    </w:p>
    <w:p w14:paraId="4860DFF5" w14:textId="08E4C72F" w:rsidR="00E82E7A" w:rsidRPr="00724374" w:rsidRDefault="00E82E7A" w:rsidP="00DD621A">
      <w:pPr>
        <w:tabs>
          <w:tab w:val="decimal" w:leader="dot" w:pos="8910"/>
        </w:tabs>
        <w:rPr>
          <w:rFonts w:asciiTheme="majorHAnsi" w:hAnsiTheme="majorHAnsi"/>
          <w:b/>
        </w:rPr>
      </w:pPr>
      <w:r w:rsidRPr="00724374">
        <w:rPr>
          <w:rFonts w:asciiTheme="majorHAnsi" w:hAnsiTheme="majorHAnsi"/>
          <w:b/>
        </w:rPr>
        <w:t>Standard II</w:t>
      </w:r>
      <w:r w:rsidR="00DD621A">
        <w:rPr>
          <w:rFonts w:asciiTheme="majorHAnsi" w:hAnsiTheme="majorHAnsi"/>
          <w:b/>
        </w:rPr>
        <w:tab/>
      </w:r>
      <w:r w:rsidR="00584FB0">
        <w:rPr>
          <w:rFonts w:asciiTheme="majorHAnsi" w:hAnsiTheme="majorHAnsi"/>
          <w:b/>
        </w:rPr>
        <w:t>149</w:t>
      </w:r>
    </w:p>
    <w:p w14:paraId="477C94BE" w14:textId="77777777" w:rsidR="00E82E7A" w:rsidRPr="00724374" w:rsidRDefault="00E82E7A" w:rsidP="003D4C4D">
      <w:pPr>
        <w:tabs>
          <w:tab w:val="left" w:pos="540"/>
          <w:tab w:val="decimal" w:leader="dot" w:pos="8910"/>
        </w:tabs>
        <w:rPr>
          <w:rFonts w:asciiTheme="majorHAnsi" w:hAnsiTheme="majorHAnsi"/>
          <w:b/>
        </w:rPr>
      </w:pPr>
    </w:p>
    <w:p w14:paraId="21401028" w14:textId="2EE98F87" w:rsidR="00E82E7A" w:rsidRPr="00724374" w:rsidRDefault="00E82E7A" w:rsidP="003D4C4D">
      <w:pPr>
        <w:tabs>
          <w:tab w:val="left" w:pos="540"/>
          <w:tab w:val="decimal" w:leader="dot" w:pos="8910"/>
        </w:tabs>
        <w:rPr>
          <w:rFonts w:asciiTheme="majorHAnsi" w:hAnsiTheme="majorHAnsi"/>
          <w:b/>
        </w:rPr>
      </w:pPr>
      <w:r w:rsidRPr="00724374">
        <w:rPr>
          <w:rFonts w:asciiTheme="majorHAnsi" w:hAnsiTheme="majorHAnsi"/>
          <w:b/>
        </w:rPr>
        <w:t>Standard III</w:t>
      </w:r>
      <w:r w:rsidR="00DD621A">
        <w:rPr>
          <w:rFonts w:asciiTheme="majorHAnsi" w:hAnsiTheme="majorHAnsi"/>
          <w:b/>
        </w:rPr>
        <w:tab/>
      </w:r>
      <w:r w:rsidR="00584FB0">
        <w:rPr>
          <w:rFonts w:asciiTheme="majorHAnsi" w:hAnsiTheme="majorHAnsi"/>
          <w:b/>
        </w:rPr>
        <w:t>233</w:t>
      </w:r>
    </w:p>
    <w:p w14:paraId="31B8A141" w14:textId="77777777" w:rsidR="00E82E7A" w:rsidRPr="00724374" w:rsidRDefault="00E82E7A" w:rsidP="003D4C4D">
      <w:pPr>
        <w:tabs>
          <w:tab w:val="left" w:pos="540"/>
          <w:tab w:val="decimal" w:leader="dot" w:pos="8910"/>
        </w:tabs>
        <w:rPr>
          <w:rFonts w:asciiTheme="majorHAnsi" w:hAnsiTheme="majorHAnsi"/>
          <w:b/>
        </w:rPr>
      </w:pPr>
    </w:p>
    <w:p w14:paraId="1AC7114C" w14:textId="5133F6F3" w:rsidR="00724374" w:rsidRPr="00724374" w:rsidRDefault="00724374" w:rsidP="003D4C4D">
      <w:pPr>
        <w:tabs>
          <w:tab w:val="left" w:pos="540"/>
          <w:tab w:val="decimal" w:leader="dot" w:pos="8910"/>
        </w:tabs>
        <w:rPr>
          <w:rFonts w:asciiTheme="majorHAnsi" w:hAnsiTheme="majorHAnsi"/>
          <w:b/>
        </w:rPr>
      </w:pPr>
      <w:r w:rsidRPr="00724374">
        <w:rPr>
          <w:rFonts w:asciiTheme="majorHAnsi" w:hAnsiTheme="majorHAnsi"/>
          <w:b/>
        </w:rPr>
        <w:t>Standard IV</w:t>
      </w:r>
      <w:r w:rsidR="00DD621A">
        <w:rPr>
          <w:rFonts w:asciiTheme="majorHAnsi" w:hAnsiTheme="majorHAnsi"/>
          <w:b/>
        </w:rPr>
        <w:tab/>
      </w:r>
      <w:r w:rsidR="00584FB0">
        <w:rPr>
          <w:rFonts w:asciiTheme="majorHAnsi" w:hAnsiTheme="majorHAnsi"/>
          <w:b/>
        </w:rPr>
        <w:t>327</w:t>
      </w:r>
    </w:p>
    <w:p w14:paraId="61EF5E02" w14:textId="77777777" w:rsidR="00724374" w:rsidRDefault="00724374" w:rsidP="003D4C4D">
      <w:pPr>
        <w:tabs>
          <w:tab w:val="left" w:pos="540"/>
          <w:tab w:val="decimal" w:leader="dot" w:pos="8910"/>
        </w:tabs>
        <w:rPr>
          <w:rFonts w:asciiTheme="majorHAnsi" w:hAnsiTheme="majorHAnsi"/>
        </w:rPr>
      </w:pPr>
    </w:p>
    <w:p w14:paraId="41DE96DA" w14:textId="51959800" w:rsidR="00E82E7A" w:rsidRPr="00724374" w:rsidRDefault="00E82E7A" w:rsidP="003D4C4D">
      <w:pPr>
        <w:tabs>
          <w:tab w:val="left" w:pos="540"/>
          <w:tab w:val="decimal" w:leader="dot" w:pos="8910"/>
        </w:tabs>
        <w:rPr>
          <w:rFonts w:asciiTheme="majorHAnsi" w:hAnsiTheme="majorHAnsi"/>
          <w:b/>
        </w:rPr>
      </w:pPr>
      <w:r w:rsidRPr="00724374">
        <w:rPr>
          <w:rFonts w:asciiTheme="majorHAnsi" w:hAnsiTheme="majorHAnsi"/>
          <w:b/>
        </w:rPr>
        <w:t>Quality Focus Essay</w:t>
      </w:r>
      <w:r w:rsidR="00DD621A">
        <w:rPr>
          <w:rFonts w:asciiTheme="majorHAnsi" w:hAnsiTheme="majorHAnsi"/>
          <w:b/>
        </w:rPr>
        <w:tab/>
      </w:r>
      <w:r w:rsidR="00584FB0">
        <w:rPr>
          <w:rFonts w:asciiTheme="majorHAnsi" w:hAnsiTheme="majorHAnsi"/>
          <w:b/>
        </w:rPr>
        <w:t>373</w:t>
      </w:r>
    </w:p>
    <w:p w14:paraId="3294C4D8" w14:textId="77777777" w:rsidR="00E82E7A" w:rsidRDefault="00E82E7A" w:rsidP="003D4C4D">
      <w:pPr>
        <w:tabs>
          <w:tab w:val="left" w:pos="540"/>
          <w:tab w:val="decimal" w:leader="dot" w:pos="8910"/>
        </w:tabs>
        <w:rPr>
          <w:rFonts w:asciiTheme="majorHAnsi" w:hAnsiTheme="majorHAnsi"/>
        </w:rPr>
      </w:pPr>
    </w:p>
    <w:p w14:paraId="75BA2280" w14:textId="72F51C07" w:rsidR="00E82E7A" w:rsidRPr="00724374" w:rsidRDefault="00E82E7A" w:rsidP="003D4C4D">
      <w:pPr>
        <w:tabs>
          <w:tab w:val="left" w:pos="540"/>
          <w:tab w:val="decimal" w:leader="dot" w:pos="8910"/>
        </w:tabs>
        <w:rPr>
          <w:rFonts w:asciiTheme="majorHAnsi" w:hAnsiTheme="majorHAnsi"/>
          <w:b/>
        </w:rPr>
      </w:pPr>
      <w:r w:rsidRPr="00724374">
        <w:rPr>
          <w:rFonts w:asciiTheme="majorHAnsi" w:hAnsiTheme="majorHAnsi"/>
          <w:b/>
        </w:rPr>
        <w:t xml:space="preserve">Plans </w:t>
      </w:r>
      <w:r w:rsidR="00724374" w:rsidRPr="00724374">
        <w:rPr>
          <w:rFonts w:asciiTheme="majorHAnsi" w:hAnsiTheme="majorHAnsi"/>
          <w:b/>
        </w:rPr>
        <w:t xml:space="preserve">Arising </w:t>
      </w:r>
      <w:r w:rsidR="00D05D0D">
        <w:rPr>
          <w:rFonts w:asciiTheme="majorHAnsi" w:hAnsiTheme="majorHAnsi"/>
          <w:b/>
        </w:rPr>
        <w:t>from</w:t>
      </w:r>
      <w:r w:rsidR="00724374" w:rsidRPr="00724374">
        <w:rPr>
          <w:rFonts w:asciiTheme="majorHAnsi" w:hAnsiTheme="majorHAnsi"/>
          <w:b/>
        </w:rPr>
        <w:t xml:space="preserve"> the Self Evaluation Process</w:t>
      </w:r>
      <w:r w:rsidR="00DD621A">
        <w:rPr>
          <w:rFonts w:asciiTheme="majorHAnsi" w:hAnsiTheme="majorHAnsi"/>
          <w:b/>
        </w:rPr>
        <w:tab/>
      </w:r>
      <w:r w:rsidR="00584FB0">
        <w:rPr>
          <w:rFonts w:asciiTheme="majorHAnsi" w:hAnsiTheme="majorHAnsi"/>
          <w:b/>
        </w:rPr>
        <w:t>385</w:t>
      </w:r>
    </w:p>
    <w:p w14:paraId="4E54F9BF" w14:textId="77777777" w:rsidR="00E82E7A" w:rsidRDefault="00E82E7A" w:rsidP="003D4C4D">
      <w:pPr>
        <w:tabs>
          <w:tab w:val="left" w:pos="540"/>
          <w:tab w:val="decimal" w:leader="dot" w:pos="8910"/>
        </w:tabs>
        <w:rPr>
          <w:rFonts w:asciiTheme="majorHAnsi" w:hAnsiTheme="majorHAnsi"/>
        </w:rPr>
      </w:pPr>
    </w:p>
    <w:p w14:paraId="1BBE8E38" w14:textId="40412530" w:rsidR="00146A92" w:rsidRDefault="00FD5239" w:rsidP="00F4114F">
      <w:pPr>
        <w:tabs>
          <w:tab w:val="left" w:pos="540"/>
          <w:tab w:val="decimal" w:leader="dot" w:pos="8910"/>
        </w:tabs>
        <w:rPr>
          <w:rFonts w:asciiTheme="majorHAnsi" w:hAnsiTheme="majorHAnsi"/>
          <w:b/>
        </w:rPr>
      </w:pPr>
      <w:r w:rsidRPr="00F4114F">
        <w:rPr>
          <w:rFonts w:asciiTheme="majorHAnsi" w:hAnsiTheme="majorHAnsi"/>
          <w:b/>
        </w:rPr>
        <w:t>Appendices</w:t>
      </w:r>
      <w:r w:rsidR="00DD621A">
        <w:rPr>
          <w:rFonts w:asciiTheme="majorHAnsi" w:hAnsiTheme="majorHAnsi"/>
          <w:b/>
        </w:rPr>
        <w:tab/>
      </w:r>
      <w:r w:rsidR="00584FB0">
        <w:rPr>
          <w:rFonts w:asciiTheme="majorHAnsi" w:hAnsiTheme="majorHAnsi"/>
          <w:b/>
        </w:rPr>
        <w:t>395</w:t>
      </w:r>
    </w:p>
    <w:p w14:paraId="4100A2B9" w14:textId="77777777" w:rsidR="00146A92" w:rsidRDefault="00146A92">
      <w:pPr>
        <w:rPr>
          <w:rFonts w:asciiTheme="majorHAnsi" w:hAnsiTheme="majorHAnsi"/>
          <w:b/>
        </w:rPr>
      </w:pPr>
      <w:r>
        <w:rPr>
          <w:rFonts w:asciiTheme="majorHAnsi" w:hAnsiTheme="majorHAnsi"/>
          <w:b/>
        </w:rPr>
        <w:br w:type="page"/>
      </w:r>
    </w:p>
    <w:p w14:paraId="7191FEDC" w14:textId="7FA85CE0" w:rsidR="00434A3C" w:rsidRPr="00F4114F" w:rsidRDefault="00DC7C37" w:rsidP="00F4114F">
      <w:pPr>
        <w:tabs>
          <w:tab w:val="left" w:pos="540"/>
          <w:tab w:val="decimal" w:leader="dot" w:pos="8910"/>
        </w:tabs>
        <w:rPr>
          <w:rFonts w:asciiTheme="majorHAnsi" w:hAnsiTheme="majorHAnsi"/>
          <w:b/>
        </w:rPr>
      </w:pPr>
      <w:r>
        <w:rPr>
          <w:rFonts w:asciiTheme="majorHAnsi" w:hAnsiTheme="majorHAnsi"/>
          <w:b/>
          <w:noProof/>
        </w:rPr>
        <w:lastRenderedPageBreak/>
        <w:object w:dxaOrig="1440" w:dyaOrig="1440" w14:anchorId="0EE4CA26">
          <v:shape id="_x0000_s1031" type="#_x0000_t75" style="position:absolute;margin-left:0;margin-top:0;width:87.25pt;height:98.45pt;z-index:251686400;mso-wrap-style:square;mso-width-percent:0;mso-height-percent:0;mso-left-percent:-10001;mso-top-percent:-10001;mso-wrap-distance-left:9pt;mso-wrap-distance-top:0;mso-wrap-distance-right:9pt;mso-wrap-distance-bottom:0;mso-position-horizontal:center;mso-position-horizontal-relative:text;mso-position-vertical:center;mso-position-vertical-relative:page;mso-width-percent:0;mso-height-percent:0;mso-left-percent:-10001;mso-top-percent:-10001;mso-width-relative:page;mso-height-relative:page;mso-position-horizontal-col-start:0;mso-width-col-span:0;v-text-anchor:top">
            <v:imagedata r:id="rId9" o:title="" croptop="4766f" cropbottom="3972f"/>
            <w10:wrap anchory="page"/>
          </v:shape>
          <o:OLEObject Type="Embed" ProgID="Acrobat.Document.11" ShapeID="_x0000_s1031" DrawAspect="Content" ObjectID="_1533576241" r:id="rId15"/>
        </w:object>
      </w:r>
    </w:p>
    <w:p w14:paraId="4999B806" w14:textId="77777777" w:rsidR="007C3E4E" w:rsidRDefault="007C3E4E" w:rsidP="00746A76">
      <w:pPr>
        <w:tabs>
          <w:tab w:val="left" w:pos="540"/>
          <w:tab w:val="decimal" w:leader="dot" w:pos="8910"/>
        </w:tabs>
        <w:rPr>
          <w:rFonts w:asciiTheme="majorHAnsi" w:hAnsiTheme="majorHAnsi"/>
        </w:rPr>
        <w:sectPr w:rsidR="007C3E4E" w:rsidSect="00F91E6C">
          <w:type w:val="oddPage"/>
          <w:pgSz w:w="12240" w:h="15840"/>
          <w:pgMar w:top="1440" w:right="1440" w:bottom="1440" w:left="1800" w:header="720" w:footer="720" w:gutter="0"/>
          <w:cols w:space="720"/>
          <w:docGrid w:linePitch="360"/>
        </w:sectPr>
      </w:pPr>
    </w:p>
    <w:p w14:paraId="5311053A" w14:textId="46B7F9A1" w:rsidR="007E59C2" w:rsidRDefault="00746A76" w:rsidP="00FE1147">
      <w:pPr>
        <w:pStyle w:val="Heading1"/>
        <w:spacing w:before="0"/>
      </w:pPr>
      <w:r>
        <w:lastRenderedPageBreak/>
        <w:t>Santa Monica College History</w:t>
      </w:r>
    </w:p>
    <w:p w14:paraId="691F53A1" w14:textId="77777777" w:rsidR="00062469" w:rsidRDefault="00062469" w:rsidP="00B71792">
      <w:pPr>
        <w:pStyle w:val="Normalwithspacebetween"/>
      </w:pPr>
      <w:r w:rsidRPr="002736B5">
        <w:t>On September 10, 1929—just 49 days before Wall Street crashed, plunging the nation into the Great Depression—“Santa Monica Junior College” opened its doors on the second floor of Santa Monica High School with 153 students. Evolving missions led to new names: “Santa Monica City College” and eventually “Santa Monica College,” to reflect the College’s service to the Westside, and to the larger community of Los Angeles. Today, enrollment is roughly 32,000 students, and the College operates on a 38-acre campus at 1900 Pico Boulevard, and five satellite</w:t>
      </w:r>
      <w:r w:rsidRPr="002736B5">
        <w:rPr>
          <w:spacing w:val="-3"/>
        </w:rPr>
        <w:t xml:space="preserve"> </w:t>
      </w:r>
      <w:r w:rsidRPr="002736B5">
        <w:t>campuses across Santa Monica.</w:t>
      </w:r>
    </w:p>
    <w:p w14:paraId="71D83628" w14:textId="08C146C4" w:rsidR="00062469" w:rsidRPr="002736B5" w:rsidRDefault="00062469" w:rsidP="00B71792">
      <w:pPr>
        <w:pStyle w:val="Normalwithspacebetween"/>
      </w:pPr>
      <w:r w:rsidRPr="002736B5">
        <w:t xml:space="preserve">A pioneer of the uniquely American community college movement, </w:t>
      </w:r>
      <w:r w:rsidR="008D5D3C">
        <w:t>the College</w:t>
      </w:r>
      <w:r w:rsidRPr="002736B5">
        <w:t xml:space="preserve"> fulfills the educational needs of the broadest possible cross-section of its community which extends beyond its district boundaries to the students and employees who come </w:t>
      </w:r>
      <w:r w:rsidR="001C0BCD">
        <w:t xml:space="preserve">to the College </w:t>
      </w:r>
      <w:r w:rsidRPr="002736B5">
        <w:t xml:space="preserve">from the surrounding Los Angeles county region, from across the nation, and from all parts of the world.  </w:t>
      </w:r>
      <w:r w:rsidR="008D5D3C">
        <w:t>The College</w:t>
      </w:r>
      <w:r w:rsidRPr="002736B5">
        <w:t xml:space="preserve"> also responds to the ideals defined by the state’s Master Plan for Higher Education, as a leading institution in college transfer; job training (with 110 CTE degrees and certificates to date), and lifelong learning through model programs like Emeritus College which offers free classes designed for older adults (and celebrated its 40</w:t>
      </w:r>
      <w:r w:rsidRPr="002736B5">
        <w:rPr>
          <w:vertAlign w:val="superscript"/>
        </w:rPr>
        <w:t>th</w:t>
      </w:r>
      <w:r w:rsidRPr="002736B5">
        <w:t xml:space="preserve"> anniversary in 2015), and its Continuing Education program which offers low-cost personal interest and professional development classes.</w:t>
      </w:r>
    </w:p>
    <w:p w14:paraId="0EA2813D" w14:textId="692F7B4F" w:rsidR="00062469" w:rsidRPr="002736B5" w:rsidRDefault="00062469" w:rsidP="00B71792">
      <w:pPr>
        <w:pStyle w:val="Normalwithspacebetween"/>
      </w:pPr>
      <w:r w:rsidRPr="002736B5">
        <w:t xml:space="preserve">The College’s relationship to the communities it serves—Santa Monica and Malibu—is unequivocally strong. And in resounding support of </w:t>
      </w:r>
      <w:r w:rsidR="008D5D3C">
        <w:t>the College</w:t>
      </w:r>
      <w:r w:rsidRPr="002736B5">
        <w:t>’s value, the voters of these two cities have funded a total of eight bond measures since 1946—four prior to Proposition 13 in 1978 and four post-Proposition 13 to fund facilities improvements. The most recent bond, Measure AA, for $295 million, passed in 2008, despite a severe recession. Among the Measure AA-funded projects completed recently or in construction are a specialized $49 million building for Health, Physical Education and Dance on the main campus; a $23 million renovation of the East Wing of the SMC Performing Arts Center (including classrooms and a performance space); an $89 million renovation of the new design and media campus on Stewart Street; and a new $24 million Information Technology and Media Center.</w:t>
      </w:r>
    </w:p>
    <w:p w14:paraId="0B44B96F" w14:textId="3343000A" w:rsidR="00062469" w:rsidRPr="002736B5" w:rsidRDefault="00062469" w:rsidP="00B71792">
      <w:pPr>
        <w:pStyle w:val="Normalwithspacebetween"/>
        <w:rPr>
          <w:color w:val="000000"/>
        </w:rPr>
      </w:pPr>
      <w:r w:rsidRPr="002736B5">
        <w:t xml:space="preserve">Santa Monica College has enjoyed an extraordinary symbiotic relationship with the local and regional economy. Through every point in its history, </w:t>
      </w:r>
      <w:r w:rsidR="008D5D3C">
        <w:t>the College</w:t>
      </w:r>
      <w:r w:rsidRPr="002736B5">
        <w:t xml:space="preserve"> cultivated a culture that respond</w:t>
      </w:r>
      <w:r w:rsidR="00FE1147">
        <w:t>s</w:t>
      </w:r>
      <w:r w:rsidRPr="002736B5">
        <w:t xml:space="preserve"> quickly to shifts in the local economy and resulting workforce need</w:t>
      </w:r>
      <w:r w:rsidR="00FE1147">
        <w:t>s, and leverages</w:t>
      </w:r>
      <w:r w:rsidRPr="002736B5">
        <w:t xml:space="preserve"> its standing as a trusted higher education partner to inform the creation of new curriculum and decision-making. </w:t>
      </w:r>
      <w:r w:rsidRPr="002736B5">
        <w:rPr>
          <w:color w:val="000000"/>
        </w:rPr>
        <w:t xml:space="preserve">Most recently, this was manifested in the creation and approval of </w:t>
      </w:r>
      <w:r w:rsidR="008D5D3C">
        <w:rPr>
          <w:color w:val="000000"/>
        </w:rPr>
        <w:t>Santa Monica College</w:t>
      </w:r>
      <w:r w:rsidRPr="002736B5">
        <w:rPr>
          <w:color w:val="000000"/>
        </w:rPr>
        <w:t>’s Bachelor of Science</w:t>
      </w:r>
      <w:r w:rsidR="00FE1147">
        <w:rPr>
          <w:color w:val="000000"/>
        </w:rPr>
        <w:t xml:space="preserve"> degree</w:t>
      </w:r>
      <w:r w:rsidRPr="002736B5">
        <w:rPr>
          <w:color w:val="000000"/>
        </w:rPr>
        <w:t xml:space="preserve"> in Interaction Design. The Westside of Los Angeles—known as “Silicon Beach”—is one of the world’s top three tech hubs, home to about 500 tech startups like Snapchat, and bigger companies like Google and Yahoo. By meeting one of the biggest skills gaps in the tech world, and here locally for the emerging but high-demand Interaction Design field, </w:t>
      </w:r>
      <w:r w:rsidR="001C0BCD">
        <w:rPr>
          <w:color w:val="000000"/>
        </w:rPr>
        <w:t>the College</w:t>
      </w:r>
      <w:r w:rsidRPr="002736B5">
        <w:rPr>
          <w:color w:val="000000"/>
        </w:rPr>
        <w:t xml:space="preserve"> positioned itself as a pathway to professional and economic advancement. </w:t>
      </w:r>
    </w:p>
    <w:p w14:paraId="668A9A9C" w14:textId="77777777" w:rsidR="00062469" w:rsidRPr="002736B5" w:rsidRDefault="00062469" w:rsidP="00FE1147">
      <w:pPr>
        <w:keepNext/>
        <w:rPr>
          <w:rFonts w:eastAsia="Times New Roman" w:cs="Times New Roman"/>
          <w:b/>
          <w:color w:val="000000"/>
        </w:rPr>
      </w:pPr>
      <w:r w:rsidRPr="002736B5">
        <w:rPr>
          <w:rFonts w:eastAsia="Times New Roman" w:cs="Times New Roman"/>
          <w:b/>
          <w:color w:val="000000"/>
        </w:rPr>
        <w:t>From Challenges to Growth</w:t>
      </w:r>
    </w:p>
    <w:p w14:paraId="6E5A30DB" w14:textId="5A5D077A" w:rsidR="00062469" w:rsidRDefault="001C0BCD" w:rsidP="00B71792">
      <w:pPr>
        <w:pStyle w:val="Normalwithspacebetween"/>
      </w:pPr>
      <w:r>
        <w:t>Santa Monica College</w:t>
      </w:r>
      <w:r w:rsidR="00062469" w:rsidRPr="002736B5">
        <w:t xml:space="preserve"> has faced numerous challenges over the last several decades.  When Proposition 13 passed in 1978, replacing local funding with state funding, </w:t>
      </w:r>
      <w:r>
        <w:t>the College</w:t>
      </w:r>
      <w:r w:rsidR="00062469" w:rsidRPr="002736B5">
        <w:t xml:space="preserve"> faced the challenge by arguing that the state should allow “free flow” attendance and successfully lobbied </w:t>
      </w:r>
      <w:r w:rsidR="00062469" w:rsidRPr="002736B5">
        <w:lastRenderedPageBreak/>
        <w:t xml:space="preserve">the landmark legislation, enacted in 1987, providing students with the right to attend junior colleges outside their district. This would transform </w:t>
      </w:r>
      <w:r>
        <w:t>the College, which grew</w:t>
      </w:r>
      <w:r w:rsidR="00062469" w:rsidRPr="002736B5">
        <w:t xml:space="preserve"> from 9,000 </w:t>
      </w:r>
      <w:r>
        <w:t xml:space="preserve">students </w:t>
      </w:r>
      <w:r w:rsidR="00062469" w:rsidRPr="002736B5">
        <w:t>to more than 18,000 by the mid-1990s.</w:t>
      </w:r>
    </w:p>
    <w:p w14:paraId="151127C4" w14:textId="115B1654" w:rsidR="00062469" w:rsidRPr="002736B5" w:rsidRDefault="00062469" w:rsidP="00FE1147">
      <w:r w:rsidRPr="002736B5">
        <w:t xml:space="preserve">In recent years, the introduction of resident preferential parking in Santa Monica led to </w:t>
      </w:r>
      <w:r w:rsidR="001C0BCD">
        <w:t xml:space="preserve">worsening </w:t>
      </w:r>
      <w:r w:rsidRPr="002736B5">
        <w:t xml:space="preserve">parking problems, something the College </w:t>
      </w:r>
      <w:r w:rsidR="001C0BCD">
        <w:t xml:space="preserve">has addressed </w:t>
      </w:r>
      <w:r w:rsidRPr="002736B5">
        <w:t xml:space="preserve">with ingenuity by combining an aggressive, groundbreaking public transit initiative with the building of a new satellite parking lot. </w:t>
      </w:r>
      <w:r w:rsidR="001C0BCD">
        <w:t xml:space="preserve">The College </w:t>
      </w:r>
      <w:r w:rsidRPr="002736B5">
        <w:t xml:space="preserve">and its Associated Students currently fund a partnership with the City of Santa Monica’s Big Blue Bus that allows </w:t>
      </w:r>
      <w:r w:rsidR="001C0BCD">
        <w:t xml:space="preserve">college </w:t>
      </w:r>
      <w:r w:rsidRPr="002736B5">
        <w:t xml:space="preserve">employees and students to ride “Any Line, Any Time” for free. The program was established in 2008, and now provides about 2.8 million boardings and alightings annually.  </w:t>
      </w:r>
    </w:p>
    <w:p w14:paraId="4E2F3463" w14:textId="5B6F9498" w:rsidR="00062469" w:rsidRPr="002736B5" w:rsidRDefault="00062469" w:rsidP="00B71792">
      <w:pPr>
        <w:pStyle w:val="Normalwithspacebetween"/>
      </w:pPr>
      <w:r w:rsidRPr="002736B5">
        <w:t xml:space="preserve">Similarly, in the last six years, the regional increase in traffic congestion led </w:t>
      </w:r>
      <w:r w:rsidR="001C0BCD">
        <w:t>the College</w:t>
      </w:r>
      <w:r w:rsidRPr="002736B5">
        <w:t xml:space="preserve"> to create additional pioneering programs in partnership with other agencies to provide more transit options to students—these include uberPOOL (</w:t>
      </w:r>
      <w:r w:rsidR="001C0BCD">
        <w:t>Santa Monica College</w:t>
      </w:r>
      <w:r w:rsidRPr="002736B5">
        <w:t xml:space="preserve"> is the first community college in the nation to offer this carpool service in partnership with Uber), Breeze Bike Share, and last but not the least, partnering with Metro for the new light rail Expo Line station at 17th and Colorado which is known officially as the “Santa Monica College” station. </w:t>
      </w:r>
      <w:r w:rsidR="001C0BCD">
        <w:t>Santa Monica College</w:t>
      </w:r>
      <w:r w:rsidRPr="002736B5">
        <w:t xml:space="preserve"> also became the first California community college to win a Bronze Bike-Friendly University designation from the League of American Bicyclists in 2015.</w:t>
      </w:r>
    </w:p>
    <w:p w14:paraId="03F99DEC" w14:textId="3EE38E40" w:rsidR="00062469" w:rsidRDefault="00062469" w:rsidP="00B71792">
      <w:pPr>
        <w:pStyle w:val="Normalwithspacebetween"/>
      </w:pPr>
      <w:r w:rsidRPr="002736B5">
        <w:t xml:space="preserve">A tragic shooting incident in June 2013 which ended on </w:t>
      </w:r>
      <w:r w:rsidR="00733424">
        <w:t>the main</w:t>
      </w:r>
      <w:r w:rsidRPr="002736B5">
        <w:t xml:space="preserve"> campus has led to a comprehensive review and nearly completed upgrade of emergency notification systems and infrastructure to equip the campus for safety in the event of future emergency situations.</w:t>
      </w:r>
    </w:p>
    <w:p w14:paraId="0804597F" w14:textId="7765DF69" w:rsidR="00733424" w:rsidRPr="002736B5" w:rsidRDefault="001C0BCD" w:rsidP="00B71792">
      <w:pPr>
        <w:pStyle w:val="Normalwithspacebetween"/>
      </w:pPr>
      <w:r>
        <w:t>Santa Monica College</w:t>
      </w:r>
      <w:r w:rsidR="00062469" w:rsidRPr="002736B5">
        <w:t xml:space="preserve"> also underwent a ripple of changes in senior executive leadership: first with the loss of longtime Executive V</w:t>
      </w:r>
      <w:r>
        <w:t xml:space="preserve">ice </w:t>
      </w:r>
      <w:r w:rsidR="00062469" w:rsidRPr="002736B5">
        <w:t>P</w:t>
      </w:r>
      <w:r>
        <w:t>resident</w:t>
      </w:r>
      <w:r w:rsidR="00062469" w:rsidRPr="002736B5">
        <w:t xml:space="preserve"> and strategic/accreditation leader Randal Lawson in 2014, followed by the retirement of President Chui L. Tsang in 2015. With the appointment of </w:t>
      </w:r>
      <w:r w:rsidR="00733424">
        <w:t>the College’s</w:t>
      </w:r>
      <w:r w:rsidR="00062469" w:rsidRPr="002736B5">
        <w:t xml:space="preserve"> new Superintendent/President, Dr. Kathryn E. Jeffery early this year, </w:t>
      </w:r>
      <w:r>
        <w:t>Santa Monica College</w:t>
      </w:r>
      <w:r w:rsidR="00062469" w:rsidRPr="002736B5">
        <w:t xml:space="preserve"> is positioned to benefit from the vast and varied experience of a higher education leader who has served as president of a community college, of a CTE/vocational college, and was a faculty member in both two-year and four-year settings.</w:t>
      </w:r>
    </w:p>
    <w:p w14:paraId="2ABC86DB" w14:textId="300D155B" w:rsidR="00062469" w:rsidRPr="002736B5" w:rsidRDefault="00062469" w:rsidP="00062469">
      <w:pPr>
        <w:rPr>
          <w:rFonts w:eastAsia="Times New Roman" w:cs="Times New Roman"/>
          <w:b/>
          <w:color w:val="000000"/>
        </w:rPr>
      </w:pPr>
      <w:r w:rsidRPr="002736B5">
        <w:rPr>
          <w:rFonts w:eastAsia="Times New Roman" w:cs="Times New Roman"/>
          <w:b/>
          <w:color w:val="000000"/>
        </w:rPr>
        <w:t xml:space="preserve">Excellence Achieved, and </w:t>
      </w:r>
      <w:r w:rsidR="00733424">
        <w:rPr>
          <w:rFonts w:eastAsia="Times New Roman" w:cs="Times New Roman"/>
          <w:b/>
          <w:color w:val="000000"/>
        </w:rPr>
        <w:t>a</w:t>
      </w:r>
      <w:r w:rsidRPr="002736B5">
        <w:rPr>
          <w:rFonts w:eastAsia="Times New Roman" w:cs="Times New Roman"/>
          <w:b/>
          <w:color w:val="000000"/>
        </w:rPr>
        <w:t xml:space="preserve"> Look Ahead</w:t>
      </w:r>
    </w:p>
    <w:p w14:paraId="7204C9ED" w14:textId="7A400719" w:rsidR="00C22D6B" w:rsidRDefault="001C0BCD" w:rsidP="001C0BCD">
      <w:pPr>
        <w:pStyle w:val="Normalwithspacebetween"/>
      </w:pPr>
      <w:r>
        <w:t>Santa Monica College</w:t>
      </w:r>
      <w:r w:rsidR="00062469" w:rsidRPr="002736B5">
        <w:t xml:space="preserve"> has built up its robust student services system with the addition of new programs like Guardian Scholars, and the expansion of existing programs like the Veterans Resource Center. Groundbreaking curriculum and academic/CTE programs were created, including the award-winning film production program, the nation’s first accredited promo production program, public policy, technical theatre, and many more. A successful STEM-Science Research Initiative program has been established, funded b</w:t>
      </w:r>
      <w:r w:rsidR="003D4C4D">
        <w:t xml:space="preserve">y a $5.8 million grant from the </w:t>
      </w:r>
      <w:r w:rsidR="00062469" w:rsidRPr="002736B5">
        <w:t xml:space="preserve">U.S. Department of Education in 2011. </w:t>
      </w:r>
      <w:r>
        <w:t>Santa Monica College</w:t>
      </w:r>
      <w:r w:rsidR="00062469" w:rsidRPr="002736B5">
        <w:t xml:space="preserve"> students, employees and programs continue to achieve the highest recognition in many fields. While </w:t>
      </w:r>
      <w:r>
        <w:t>the College</w:t>
      </w:r>
      <w:r w:rsidR="00062469" w:rsidRPr="002736B5">
        <w:t xml:space="preserve"> faces challenges—some unique to </w:t>
      </w:r>
      <w:r>
        <w:t>the institution</w:t>
      </w:r>
      <w:r w:rsidR="00062469" w:rsidRPr="002736B5">
        <w:t>, some symptomatic of wider trends—</w:t>
      </w:r>
      <w:r>
        <w:t>the College is</w:t>
      </w:r>
      <w:r w:rsidR="00062469" w:rsidRPr="002736B5">
        <w:t xml:space="preserve"> hopeful that the same creativity, tenacity, and dedication to student success that led</w:t>
      </w:r>
      <w:r>
        <w:t xml:space="preserve"> the College </w:t>
      </w:r>
      <w:r w:rsidR="00062469" w:rsidRPr="002736B5">
        <w:t xml:space="preserve">to overcome challenges in the past will prevail, and indeed, lead </w:t>
      </w:r>
      <w:r>
        <w:t xml:space="preserve">Santa Monica College </w:t>
      </w:r>
      <w:r w:rsidR="00062469" w:rsidRPr="002736B5">
        <w:t>on to an even higher plane of excellence.</w:t>
      </w:r>
    </w:p>
    <w:p w14:paraId="2D57AD8B" w14:textId="77777777" w:rsidR="007C3E4E" w:rsidRDefault="007C3E4E">
      <w:pPr>
        <w:sectPr w:rsidR="007C3E4E" w:rsidSect="0079127C">
          <w:headerReference w:type="even" r:id="rId16"/>
          <w:headerReference w:type="default" r:id="rId17"/>
          <w:footerReference w:type="even" r:id="rId18"/>
          <w:footerReference w:type="default" r:id="rId19"/>
          <w:pgSz w:w="12240" w:h="15840"/>
          <w:pgMar w:top="1440" w:right="1080" w:bottom="1440" w:left="1800" w:header="720" w:footer="720" w:gutter="0"/>
          <w:pgNumType w:start="1"/>
          <w:cols w:space="720"/>
          <w:docGrid w:linePitch="360"/>
        </w:sectPr>
      </w:pPr>
    </w:p>
    <w:p w14:paraId="3482A034" w14:textId="0E250F3E" w:rsidR="00062469" w:rsidRPr="00AB59D5" w:rsidRDefault="00C22D6B" w:rsidP="00AB59D5">
      <w:pPr>
        <w:pStyle w:val="Heading1"/>
      </w:pPr>
      <w:r w:rsidRPr="00AB59D5">
        <w:lastRenderedPageBreak/>
        <w:t>Student Achievement Data and Institution-Set Standards</w:t>
      </w:r>
    </w:p>
    <w:p w14:paraId="4F0269EC" w14:textId="1AEBF021" w:rsidR="007E59C2" w:rsidRPr="00EE335B" w:rsidRDefault="00AB59D5" w:rsidP="00AB59D5">
      <w:pPr>
        <w:pStyle w:val="Heading2"/>
      </w:pPr>
      <w:r>
        <w:t>Santa Monica College</w:t>
      </w:r>
      <w:r w:rsidR="007E59C2" w:rsidRPr="00EE335B">
        <w:t xml:space="preserve"> Demographic Data Trends</w:t>
      </w:r>
    </w:p>
    <w:p w14:paraId="5AEED217" w14:textId="29B5624C" w:rsidR="003F6D20" w:rsidRPr="00EE335B" w:rsidRDefault="00733424" w:rsidP="00AB59D5">
      <w:pPr>
        <w:pStyle w:val="Heading3"/>
      </w:pPr>
      <w:r w:rsidRPr="00AB59D5">
        <w:t>Enrollment</w:t>
      </w:r>
      <w:r>
        <w:t xml:space="preserve"> </w:t>
      </w:r>
      <w:r w:rsidRPr="00AB59D5">
        <w:t>Trends</w:t>
      </w:r>
    </w:p>
    <w:p w14:paraId="16FEAD33" w14:textId="77777777" w:rsidR="003F6D20" w:rsidRPr="00EE335B" w:rsidRDefault="003F6D20" w:rsidP="00AB59D5">
      <w:pPr>
        <w:pStyle w:val="Heading4"/>
      </w:pPr>
      <w:bookmarkStart w:id="0" w:name="OLE_LINK1"/>
      <w:bookmarkStart w:id="1" w:name="OLE_LINK2"/>
      <w:bookmarkStart w:id="2" w:name="OLE_LINK3"/>
      <w:r w:rsidRPr="00EE335B">
        <w:t>Credit and Non-Credit Course Enrollment by Academic Year</w:t>
      </w:r>
    </w:p>
    <w:bookmarkEnd w:id="0"/>
    <w:bookmarkEnd w:id="1"/>
    <w:p w14:paraId="43474622" w14:textId="77777777" w:rsidR="003F6D20" w:rsidRPr="00EE335B" w:rsidRDefault="003F6D20" w:rsidP="003F6D20">
      <w:pPr>
        <w:jc w:val="center"/>
        <w:rPr>
          <w:rFonts w:cs="Times New Roman"/>
          <w:i/>
          <w:sz w:val="14"/>
        </w:rPr>
      </w:pPr>
      <w:r w:rsidRPr="00EE335B">
        <w:rPr>
          <w:rFonts w:cs="Times New Roman"/>
          <w:noProof/>
          <w:sz w:val="32"/>
        </w:rPr>
        <w:drawing>
          <wp:inline distT="0" distB="0" distL="0" distR="0" wp14:anchorId="5A35913F" wp14:editId="5411F973">
            <wp:extent cx="5486400" cy="2626157"/>
            <wp:effectExtent l="0" t="0" r="0" b="31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5A6091" w14:textId="77777777" w:rsidR="003F6D20" w:rsidRPr="00EE335B" w:rsidRDefault="003F6D20" w:rsidP="003F6D20">
      <w:pPr>
        <w:rPr>
          <w:rFonts w:cs="Times New Roman"/>
          <w:sz w:val="20"/>
        </w:rPr>
      </w:pPr>
      <w:r w:rsidRPr="00EE335B">
        <w:rPr>
          <w:rFonts w:cs="Times New Roman"/>
          <w:i/>
          <w:sz w:val="14"/>
        </w:rPr>
        <w:t>Source: Management Information System (MIS)</w:t>
      </w:r>
    </w:p>
    <w:p w14:paraId="463768D3" w14:textId="13EFE8A7" w:rsidR="003F6D20" w:rsidRDefault="003F6D20" w:rsidP="00B71792">
      <w:pPr>
        <w:pStyle w:val="Normalwithspacebetween"/>
      </w:pPr>
      <w:r w:rsidRPr="00EE335B">
        <w:t>Over the last six academic years, total course enrollments decreased by 8.6% (from 245,148 in 2009-2010 to 224,102 in 2014-2015). During the same time period, both the credit and non-credit course enrollments experienced a decline; however, non-credit enrollments experienced a disproportionately larger decline (33.2</w:t>
      </w:r>
      <w:r w:rsidR="00B5133B">
        <w:t xml:space="preserve"> percent</w:t>
      </w:r>
      <w:r w:rsidRPr="00EE335B">
        <w:t>) than credit enrollments (4.9</w:t>
      </w:r>
      <w:r w:rsidR="00B5133B">
        <w:t xml:space="preserve"> percent</w:t>
      </w:r>
      <w:r w:rsidRPr="00EE335B">
        <w:t>). The decrease in non-credit enrollment can be largely attributed to the reduction of course offerings at the Emeritus College and elementary and secondary basic skills courses.</w:t>
      </w:r>
    </w:p>
    <w:p w14:paraId="56BD51CC" w14:textId="1B692291" w:rsidR="003F6D20" w:rsidRPr="00B71792" w:rsidRDefault="003F6D20" w:rsidP="00B71792">
      <w:pPr>
        <w:pStyle w:val="Normalwithspacebetween"/>
        <w:rPr>
          <w:rStyle w:val="NormalwithspacebetweenChar"/>
        </w:rPr>
      </w:pPr>
      <w:r w:rsidRPr="00EE335B">
        <w:t>Courses offered through Emeritus college are non-credit courses designed to serve the interests and needs of adults who are in or are preparing for retirement, are dedicated to life-long learning, and are seeking continued personal growth. In 2014-2015, Emeritus course enrollments represented approximately 7</w:t>
      </w:r>
      <w:r w:rsidR="00B5133B">
        <w:t xml:space="preserve"> percent</w:t>
      </w:r>
      <w:r w:rsidRPr="00EE335B">
        <w:t xml:space="preserve"> of all course enrollments and 77</w:t>
      </w:r>
      <w:r w:rsidR="00B5133B">
        <w:t xml:space="preserve"> percent</w:t>
      </w:r>
      <w:r w:rsidRPr="00EE335B">
        <w:t xml:space="preserve"> of all non-credit enrollments. The table below describes the number of non-credit course section offerings by course type.</w:t>
      </w:r>
    </w:p>
    <w:bookmarkEnd w:id="2"/>
    <w:p w14:paraId="37F7F592" w14:textId="77777777" w:rsidR="003F6D20" w:rsidRPr="00EE335B" w:rsidRDefault="003F6D20" w:rsidP="00AB59D5">
      <w:pPr>
        <w:jc w:val="center"/>
        <w:rPr>
          <w:rFonts w:cs="Times New Roman"/>
          <w:sz w:val="20"/>
        </w:rPr>
      </w:pPr>
      <w:r w:rsidRPr="00EE335B">
        <w:rPr>
          <w:rFonts w:cs="Times New Roman"/>
          <w:sz w:val="20"/>
        </w:rPr>
        <w:t>Non-Credit Course Section Offerings by Academic Year and Course Type</w:t>
      </w:r>
    </w:p>
    <w:tbl>
      <w:tblPr>
        <w:tblStyle w:val="GridTable5Dark-Accent51"/>
        <w:tblW w:w="0" w:type="auto"/>
        <w:jc w:val="center"/>
        <w:tblLook w:val="04A0" w:firstRow="1" w:lastRow="0" w:firstColumn="1" w:lastColumn="0" w:noHBand="0" w:noVBand="1"/>
      </w:tblPr>
      <w:tblGrid>
        <w:gridCol w:w="1249"/>
        <w:gridCol w:w="1345"/>
        <w:gridCol w:w="1344"/>
        <w:gridCol w:w="1344"/>
        <w:gridCol w:w="1345"/>
        <w:gridCol w:w="1345"/>
        <w:gridCol w:w="1244"/>
      </w:tblGrid>
      <w:tr w:rsidR="003F6D20" w:rsidRPr="00EE335B" w14:paraId="0152D2C3" w14:textId="77777777" w:rsidTr="00EE33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1" w:type="dxa"/>
            <w:tcBorders>
              <w:top w:val="nil"/>
              <w:left w:val="nil"/>
              <w:bottom w:val="nil"/>
            </w:tcBorders>
          </w:tcPr>
          <w:p w14:paraId="3E94C28C" w14:textId="77777777" w:rsidR="003F6D20" w:rsidRPr="00EE335B" w:rsidRDefault="003F6D20" w:rsidP="00AB59D5">
            <w:pPr>
              <w:rPr>
                <w:rFonts w:cs="Times New Roman"/>
                <w:b w:val="0"/>
                <w:sz w:val="14"/>
              </w:rPr>
            </w:pPr>
            <w:bookmarkStart w:id="3" w:name="OLE_LINK4"/>
          </w:p>
        </w:tc>
        <w:tc>
          <w:tcPr>
            <w:tcW w:w="1365" w:type="dxa"/>
            <w:tcBorders>
              <w:top w:val="nil"/>
              <w:bottom w:val="nil"/>
            </w:tcBorders>
          </w:tcPr>
          <w:p w14:paraId="6BF84CE6" w14:textId="77777777" w:rsidR="003F6D20" w:rsidRPr="00EE335B" w:rsidRDefault="003F6D20" w:rsidP="00AB59D5">
            <w:pPr>
              <w:jc w:val="center"/>
              <w:cnfStyle w:val="100000000000" w:firstRow="1" w:lastRow="0" w:firstColumn="0" w:lastColumn="0" w:oddVBand="0" w:evenVBand="0" w:oddHBand="0" w:evenHBand="0" w:firstRowFirstColumn="0" w:firstRowLastColumn="0" w:lastRowFirstColumn="0" w:lastRowLastColumn="0"/>
              <w:rPr>
                <w:rFonts w:cs="Times New Roman"/>
                <w:b w:val="0"/>
                <w:sz w:val="14"/>
              </w:rPr>
            </w:pPr>
            <w:r w:rsidRPr="00EE335B">
              <w:rPr>
                <w:rFonts w:cs="Times New Roman"/>
                <w:b w:val="0"/>
                <w:sz w:val="14"/>
              </w:rPr>
              <w:t>2009-2010</w:t>
            </w:r>
          </w:p>
        </w:tc>
        <w:tc>
          <w:tcPr>
            <w:tcW w:w="1365" w:type="dxa"/>
            <w:tcBorders>
              <w:top w:val="nil"/>
              <w:bottom w:val="nil"/>
            </w:tcBorders>
          </w:tcPr>
          <w:p w14:paraId="2FAAFDCE" w14:textId="77777777" w:rsidR="003F6D20" w:rsidRPr="00EE335B" w:rsidRDefault="003F6D20" w:rsidP="00AB59D5">
            <w:pPr>
              <w:jc w:val="center"/>
              <w:cnfStyle w:val="100000000000" w:firstRow="1" w:lastRow="0" w:firstColumn="0" w:lastColumn="0" w:oddVBand="0" w:evenVBand="0" w:oddHBand="0" w:evenHBand="0" w:firstRowFirstColumn="0" w:firstRowLastColumn="0" w:lastRowFirstColumn="0" w:lastRowLastColumn="0"/>
              <w:rPr>
                <w:rFonts w:cs="Times New Roman"/>
                <w:b w:val="0"/>
                <w:sz w:val="14"/>
              </w:rPr>
            </w:pPr>
            <w:r w:rsidRPr="00EE335B">
              <w:rPr>
                <w:rFonts w:cs="Times New Roman"/>
                <w:b w:val="0"/>
                <w:sz w:val="14"/>
              </w:rPr>
              <w:t>2010-2011</w:t>
            </w:r>
          </w:p>
        </w:tc>
        <w:tc>
          <w:tcPr>
            <w:tcW w:w="1365" w:type="dxa"/>
            <w:tcBorders>
              <w:top w:val="nil"/>
              <w:bottom w:val="nil"/>
            </w:tcBorders>
          </w:tcPr>
          <w:p w14:paraId="4DD79131" w14:textId="77777777" w:rsidR="003F6D20" w:rsidRPr="00EE335B" w:rsidRDefault="003F6D20" w:rsidP="00AB59D5">
            <w:pPr>
              <w:jc w:val="center"/>
              <w:cnfStyle w:val="100000000000" w:firstRow="1" w:lastRow="0" w:firstColumn="0" w:lastColumn="0" w:oddVBand="0" w:evenVBand="0" w:oddHBand="0" w:evenHBand="0" w:firstRowFirstColumn="0" w:firstRowLastColumn="0" w:lastRowFirstColumn="0" w:lastRowLastColumn="0"/>
              <w:rPr>
                <w:rFonts w:cs="Times New Roman"/>
                <w:b w:val="0"/>
                <w:sz w:val="14"/>
              </w:rPr>
            </w:pPr>
            <w:r w:rsidRPr="00EE335B">
              <w:rPr>
                <w:rFonts w:cs="Times New Roman"/>
                <w:b w:val="0"/>
                <w:sz w:val="14"/>
              </w:rPr>
              <w:t>2011-2012</w:t>
            </w:r>
          </w:p>
        </w:tc>
        <w:tc>
          <w:tcPr>
            <w:tcW w:w="1366" w:type="dxa"/>
            <w:tcBorders>
              <w:top w:val="nil"/>
              <w:bottom w:val="nil"/>
            </w:tcBorders>
          </w:tcPr>
          <w:p w14:paraId="61E9D7F8" w14:textId="77777777" w:rsidR="003F6D20" w:rsidRPr="00EE335B" w:rsidRDefault="003F6D20" w:rsidP="00AB59D5">
            <w:pPr>
              <w:jc w:val="center"/>
              <w:cnfStyle w:val="100000000000" w:firstRow="1" w:lastRow="0" w:firstColumn="0" w:lastColumn="0" w:oddVBand="0" w:evenVBand="0" w:oddHBand="0" w:evenHBand="0" w:firstRowFirstColumn="0" w:firstRowLastColumn="0" w:lastRowFirstColumn="0" w:lastRowLastColumn="0"/>
              <w:rPr>
                <w:rFonts w:cs="Times New Roman"/>
                <w:b w:val="0"/>
                <w:sz w:val="14"/>
              </w:rPr>
            </w:pPr>
            <w:r w:rsidRPr="00EE335B">
              <w:rPr>
                <w:rFonts w:cs="Times New Roman"/>
                <w:b w:val="0"/>
                <w:sz w:val="14"/>
              </w:rPr>
              <w:t>2012-2013</w:t>
            </w:r>
          </w:p>
        </w:tc>
        <w:tc>
          <w:tcPr>
            <w:tcW w:w="1366" w:type="dxa"/>
            <w:tcBorders>
              <w:top w:val="nil"/>
              <w:bottom w:val="nil"/>
            </w:tcBorders>
          </w:tcPr>
          <w:p w14:paraId="630F36C2" w14:textId="77777777" w:rsidR="003F6D20" w:rsidRPr="00EE335B" w:rsidRDefault="003F6D20" w:rsidP="00AB59D5">
            <w:pPr>
              <w:jc w:val="center"/>
              <w:cnfStyle w:val="100000000000" w:firstRow="1" w:lastRow="0" w:firstColumn="0" w:lastColumn="0" w:oddVBand="0" w:evenVBand="0" w:oddHBand="0" w:evenHBand="0" w:firstRowFirstColumn="0" w:firstRowLastColumn="0" w:lastRowFirstColumn="0" w:lastRowLastColumn="0"/>
              <w:rPr>
                <w:rFonts w:cs="Times New Roman"/>
                <w:b w:val="0"/>
                <w:sz w:val="14"/>
              </w:rPr>
            </w:pPr>
            <w:r w:rsidRPr="00EE335B">
              <w:rPr>
                <w:rFonts w:cs="Times New Roman"/>
                <w:b w:val="0"/>
                <w:sz w:val="14"/>
              </w:rPr>
              <w:t>2013-2014</w:t>
            </w:r>
          </w:p>
        </w:tc>
        <w:tc>
          <w:tcPr>
            <w:tcW w:w="1262" w:type="dxa"/>
            <w:tcBorders>
              <w:top w:val="nil"/>
              <w:bottom w:val="nil"/>
              <w:right w:val="nil"/>
            </w:tcBorders>
          </w:tcPr>
          <w:p w14:paraId="59B49F5F" w14:textId="77777777" w:rsidR="003F6D20" w:rsidRPr="00EE335B" w:rsidRDefault="003F6D20" w:rsidP="00AB59D5">
            <w:pPr>
              <w:jc w:val="center"/>
              <w:cnfStyle w:val="100000000000" w:firstRow="1" w:lastRow="0" w:firstColumn="0" w:lastColumn="0" w:oddVBand="0" w:evenVBand="0" w:oddHBand="0" w:evenHBand="0" w:firstRowFirstColumn="0" w:firstRowLastColumn="0" w:lastRowFirstColumn="0" w:lastRowLastColumn="0"/>
              <w:rPr>
                <w:rFonts w:cs="Times New Roman"/>
                <w:b w:val="0"/>
                <w:sz w:val="14"/>
              </w:rPr>
            </w:pPr>
            <w:r w:rsidRPr="00EE335B">
              <w:rPr>
                <w:rFonts w:cs="Times New Roman"/>
                <w:b w:val="0"/>
                <w:sz w:val="14"/>
              </w:rPr>
              <w:t>2014-2015</w:t>
            </w:r>
          </w:p>
        </w:tc>
      </w:tr>
      <w:tr w:rsidR="003F6D20" w:rsidRPr="00EE335B" w14:paraId="06026482" w14:textId="77777777" w:rsidTr="00EE33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1" w:type="dxa"/>
            <w:tcBorders>
              <w:top w:val="nil"/>
            </w:tcBorders>
            <w:shd w:val="clear" w:color="auto" w:fill="FFFFFF" w:themeFill="background1"/>
          </w:tcPr>
          <w:p w14:paraId="616C2EBF" w14:textId="77777777" w:rsidR="003F6D20" w:rsidRPr="00EE335B" w:rsidRDefault="003F6D20" w:rsidP="00AB59D5">
            <w:pPr>
              <w:rPr>
                <w:rFonts w:cs="Times New Roman"/>
                <w:b w:val="0"/>
                <w:color w:val="auto"/>
                <w:sz w:val="14"/>
              </w:rPr>
            </w:pPr>
            <w:r w:rsidRPr="00EE335B">
              <w:rPr>
                <w:rFonts w:cs="Times New Roman"/>
                <w:b w:val="0"/>
                <w:color w:val="auto"/>
                <w:sz w:val="14"/>
              </w:rPr>
              <w:t>ESL</w:t>
            </w:r>
          </w:p>
        </w:tc>
        <w:tc>
          <w:tcPr>
            <w:tcW w:w="1365" w:type="dxa"/>
            <w:tcBorders>
              <w:top w:val="nil"/>
            </w:tcBorders>
            <w:shd w:val="clear" w:color="auto" w:fill="FFFFFF" w:themeFill="background1"/>
          </w:tcPr>
          <w:p w14:paraId="0E4A402A" w14:textId="77777777" w:rsidR="003F6D20" w:rsidRPr="00EE335B" w:rsidRDefault="003F6D20" w:rsidP="00AB59D5">
            <w:pPr>
              <w:pStyle w:val="NoSpacing"/>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66</w:t>
            </w:r>
          </w:p>
        </w:tc>
        <w:tc>
          <w:tcPr>
            <w:tcW w:w="1365" w:type="dxa"/>
            <w:tcBorders>
              <w:top w:val="nil"/>
            </w:tcBorders>
            <w:shd w:val="clear" w:color="auto" w:fill="FFFFFF" w:themeFill="background1"/>
          </w:tcPr>
          <w:p w14:paraId="518C43FA" w14:textId="77777777" w:rsidR="003F6D20" w:rsidRPr="00EE335B" w:rsidRDefault="003F6D20" w:rsidP="00AB59D5">
            <w:pPr>
              <w:pStyle w:val="NoSpacing"/>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50</w:t>
            </w:r>
          </w:p>
        </w:tc>
        <w:tc>
          <w:tcPr>
            <w:tcW w:w="1365" w:type="dxa"/>
            <w:tcBorders>
              <w:top w:val="nil"/>
            </w:tcBorders>
            <w:shd w:val="clear" w:color="auto" w:fill="FFFFFF" w:themeFill="background1"/>
          </w:tcPr>
          <w:p w14:paraId="0D18BAEB" w14:textId="77777777" w:rsidR="003F6D20" w:rsidRPr="00EE335B" w:rsidRDefault="003F6D20" w:rsidP="00AB59D5">
            <w:pPr>
              <w:pStyle w:val="NoSpacing"/>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48</w:t>
            </w:r>
          </w:p>
        </w:tc>
        <w:tc>
          <w:tcPr>
            <w:tcW w:w="1366" w:type="dxa"/>
            <w:tcBorders>
              <w:top w:val="nil"/>
            </w:tcBorders>
            <w:shd w:val="clear" w:color="auto" w:fill="FFFFFF" w:themeFill="background1"/>
          </w:tcPr>
          <w:p w14:paraId="08C78ED5" w14:textId="77777777" w:rsidR="003F6D20" w:rsidRPr="00EE335B" w:rsidRDefault="003F6D20" w:rsidP="00AB59D5">
            <w:pPr>
              <w:pStyle w:val="NoSpacing"/>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39</w:t>
            </w:r>
          </w:p>
        </w:tc>
        <w:tc>
          <w:tcPr>
            <w:tcW w:w="1366" w:type="dxa"/>
            <w:tcBorders>
              <w:top w:val="nil"/>
            </w:tcBorders>
            <w:shd w:val="clear" w:color="auto" w:fill="FFFFFF" w:themeFill="background1"/>
          </w:tcPr>
          <w:p w14:paraId="6ABF4377" w14:textId="77777777" w:rsidR="003F6D20" w:rsidRPr="00EE335B" w:rsidRDefault="003F6D20" w:rsidP="00AB59D5">
            <w:pPr>
              <w:pStyle w:val="NoSpacing"/>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43</w:t>
            </w:r>
          </w:p>
        </w:tc>
        <w:tc>
          <w:tcPr>
            <w:tcW w:w="1262" w:type="dxa"/>
            <w:tcBorders>
              <w:top w:val="nil"/>
            </w:tcBorders>
            <w:shd w:val="clear" w:color="auto" w:fill="FFFFFF" w:themeFill="background1"/>
          </w:tcPr>
          <w:p w14:paraId="468C0E03" w14:textId="77777777" w:rsidR="003F6D20" w:rsidRPr="00EE335B" w:rsidRDefault="003F6D20" w:rsidP="00AB59D5">
            <w:pPr>
              <w:pStyle w:val="NoSpacing"/>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49</w:t>
            </w:r>
          </w:p>
        </w:tc>
      </w:tr>
      <w:tr w:rsidR="003F6D20" w:rsidRPr="00EE335B" w14:paraId="6F60A5DB" w14:textId="77777777" w:rsidTr="00EE335B">
        <w:trPr>
          <w:jc w:val="center"/>
        </w:trPr>
        <w:tc>
          <w:tcPr>
            <w:cnfStyle w:val="001000000000" w:firstRow="0" w:lastRow="0" w:firstColumn="1" w:lastColumn="0" w:oddVBand="0" w:evenVBand="0" w:oddHBand="0" w:evenHBand="0" w:firstRowFirstColumn="0" w:firstRowLastColumn="0" w:lastRowFirstColumn="0" w:lastRowLastColumn="0"/>
            <w:tcW w:w="1261" w:type="dxa"/>
            <w:shd w:val="clear" w:color="auto" w:fill="FFFFFF" w:themeFill="background1"/>
          </w:tcPr>
          <w:p w14:paraId="24D6736B" w14:textId="77777777" w:rsidR="003F6D20" w:rsidRPr="00EE335B" w:rsidRDefault="003F6D20" w:rsidP="00AB59D5">
            <w:pPr>
              <w:rPr>
                <w:rFonts w:cs="Times New Roman"/>
                <w:b w:val="0"/>
                <w:color w:val="auto"/>
                <w:sz w:val="14"/>
              </w:rPr>
            </w:pPr>
            <w:r w:rsidRPr="00EE335B">
              <w:rPr>
                <w:rFonts w:cs="Times New Roman"/>
                <w:b w:val="0"/>
                <w:color w:val="auto"/>
                <w:sz w:val="14"/>
              </w:rPr>
              <w:t>Basic Skills</w:t>
            </w:r>
          </w:p>
        </w:tc>
        <w:tc>
          <w:tcPr>
            <w:tcW w:w="1365" w:type="dxa"/>
            <w:shd w:val="clear" w:color="auto" w:fill="FFFFFF" w:themeFill="background1"/>
          </w:tcPr>
          <w:p w14:paraId="52169F72" w14:textId="77777777" w:rsidR="003F6D20" w:rsidRPr="00EE335B" w:rsidRDefault="003F6D20" w:rsidP="00AB59D5">
            <w:pPr>
              <w:pStyle w:val="NoSpacing"/>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37</w:t>
            </w:r>
          </w:p>
        </w:tc>
        <w:tc>
          <w:tcPr>
            <w:tcW w:w="1365" w:type="dxa"/>
            <w:shd w:val="clear" w:color="auto" w:fill="FFFFFF" w:themeFill="background1"/>
          </w:tcPr>
          <w:p w14:paraId="48EFAE82" w14:textId="77777777" w:rsidR="003F6D20" w:rsidRPr="00EE335B" w:rsidRDefault="003F6D20" w:rsidP="00AB59D5">
            <w:pPr>
              <w:pStyle w:val="NoSpacing"/>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0</w:t>
            </w:r>
          </w:p>
        </w:tc>
        <w:tc>
          <w:tcPr>
            <w:tcW w:w="1365" w:type="dxa"/>
            <w:shd w:val="clear" w:color="auto" w:fill="FFFFFF" w:themeFill="background1"/>
          </w:tcPr>
          <w:p w14:paraId="2E067FC1" w14:textId="77777777" w:rsidR="003F6D20" w:rsidRPr="00EE335B" w:rsidRDefault="003F6D20" w:rsidP="00AB59D5">
            <w:pPr>
              <w:pStyle w:val="NoSpacing"/>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0</w:t>
            </w:r>
          </w:p>
        </w:tc>
        <w:tc>
          <w:tcPr>
            <w:tcW w:w="1366" w:type="dxa"/>
            <w:shd w:val="clear" w:color="auto" w:fill="FFFFFF" w:themeFill="background1"/>
          </w:tcPr>
          <w:p w14:paraId="4A5FD060" w14:textId="77777777" w:rsidR="003F6D20" w:rsidRPr="00EE335B" w:rsidRDefault="003F6D20" w:rsidP="00AB59D5">
            <w:pPr>
              <w:pStyle w:val="NoSpacing"/>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0</w:t>
            </w:r>
          </w:p>
        </w:tc>
        <w:tc>
          <w:tcPr>
            <w:tcW w:w="1366" w:type="dxa"/>
            <w:shd w:val="clear" w:color="auto" w:fill="FFFFFF" w:themeFill="background1"/>
          </w:tcPr>
          <w:p w14:paraId="58C9D4BB" w14:textId="77777777" w:rsidR="003F6D20" w:rsidRPr="00EE335B" w:rsidRDefault="003F6D20" w:rsidP="00AB59D5">
            <w:pPr>
              <w:pStyle w:val="NoSpacing"/>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w:t>
            </w:r>
          </w:p>
        </w:tc>
        <w:tc>
          <w:tcPr>
            <w:tcW w:w="1262" w:type="dxa"/>
            <w:shd w:val="clear" w:color="auto" w:fill="FFFFFF" w:themeFill="background1"/>
          </w:tcPr>
          <w:p w14:paraId="51F2EC50" w14:textId="77777777" w:rsidR="003F6D20" w:rsidRPr="00EE335B" w:rsidRDefault="003F6D20" w:rsidP="00AB59D5">
            <w:pPr>
              <w:pStyle w:val="NoSpacing"/>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w:t>
            </w:r>
          </w:p>
        </w:tc>
      </w:tr>
      <w:tr w:rsidR="003F6D20" w:rsidRPr="00EE335B" w14:paraId="0FEFCA95" w14:textId="77777777" w:rsidTr="00EE33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1" w:type="dxa"/>
            <w:shd w:val="clear" w:color="auto" w:fill="FFFFFF" w:themeFill="background1"/>
          </w:tcPr>
          <w:p w14:paraId="69C7B8DE" w14:textId="77777777" w:rsidR="003F6D20" w:rsidRPr="00EE335B" w:rsidRDefault="003F6D20" w:rsidP="00AB59D5">
            <w:pPr>
              <w:rPr>
                <w:rFonts w:cs="Times New Roman"/>
                <w:b w:val="0"/>
                <w:color w:val="auto"/>
                <w:sz w:val="14"/>
              </w:rPr>
            </w:pPr>
            <w:r w:rsidRPr="00EE335B">
              <w:rPr>
                <w:rFonts w:cs="Times New Roman"/>
                <w:b w:val="0"/>
                <w:color w:val="auto"/>
                <w:sz w:val="14"/>
              </w:rPr>
              <w:t>Parenting</w:t>
            </w:r>
          </w:p>
        </w:tc>
        <w:tc>
          <w:tcPr>
            <w:tcW w:w="1365" w:type="dxa"/>
            <w:shd w:val="clear" w:color="auto" w:fill="FFFFFF" w:themeFill="background1"/>
          </w:tcPr>
          <w:p w14:paraId="2E0C15A9" w14:textId="77777777" w:rsidR="003F6D20" w:rsidRPr="00EE335B" w:rsidRDefault="003F6D20" w:rsidP="00AB59D5">
            <w:pPr>
              <w:pStyle w:val="NoSpacing"/>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7</w:t>
            </w:r>
          </w:p>
        </w:tc>
        <w:tc>
          <w:tcPr>
            <w:tcW w:w="1365" w:type="dxa"/>
            <w:shd w:val="clear" w:color="auto" w:fill="FFFFFF" w:themeFill="background1"/>
          </w:tcPr>
          <w:p w14:paraId="20A7B549" w14:textId="77777777" w:rsidR="003F6D20" w:rsidRPr="00EE335B" w:rsidRDefault="003F6D20" w:rsidP="00AB59D5">
            <w:pPr>
              <w:pStyle w:val="NoSpacing"/>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w:t>
            </w:r>
          </w:p>
        </w:tc>
        <w:tc>
          <w:tcPr>
            <w:tcW w:w="1365" w:type="dxa"/>
            <w:shd w:val="clear" w:color="auto" w:fill="FFFFFF" w:themeFill="background1"/>
          </w:tcPr>
          <w:p w14:paraId="5CE27088" w14:textId="77777777" w:rsidR="003F6D20" w:rsidRPr="00EE335B" w:rsidRDefault="003F6D20" w:rsidP="00AB59D5">
            <w:pPr>
              <w:pStyle w:val="NoSpacing"/>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w:t>
            </w:r>
          </w:p>
        </w:tc>
        <w:tc>
          <w:tcPr>
            <w:tcW w:w="1366" w:type="dxa"/>
            <w:shd w:val="clear" w:color="auto" w:fill="FFFFFF" w:themeFill="background1"/>
          </w:tcPr>
          <w:p w14:paraId="76040864" w14:textId="77777777" w:rsidR="003F6D20" w:rsidRPr="00EE335B" w:rsidRDefault="003F6D20" w:rsidP="00AB59D5">
            <w:pPr>
              <w:pStyle w:val="NoSpacing"/>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0</w:t>
            </w:r>
          </w:p>
        </w:tc>
        <w:tc>
          <w:tcPr>
            <w:tcW w:w="1366" w:type="dxa"/>
            <w:shd w:val="clear" w:color="auto" w:fill="FFFFFF" w:themeFill="background1"/>
          </w:tcPr>
          <w:p w14:paraId="13C2CF41" w14:textId="77777777" w:rsidR="003F6D20" w:rsidRPr="00EE335B" w:rsidRDefault="003F6D20" w:rsidP="00AB59D5">
            <w:pPr>
              <w:pStyle w:val="NoSpacing"/>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0</w:t>
            </w:r>
          </w:p>
        </w:tc>
        <w:tc>
          <w:tcPr>
            <w:tcW w:w="1262" w:type="dxa"/>
            <w:shd w:val="clear" w:color="auto" w:fill="FFFFFF" w:themeFill="background1"/>
          </w:tcPr>
          <w:p w14:paraId="3395ABE2" w14:textId="77777777" w:rsidR="003F6D20" w:rsidRPr="00EE335B" w:rsidRDefault="003F6D20" w:rsidP="00AB59D5">
            <w:pPr>
              <w:pStyle w:val="NoSpacing"/>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0</w:t>
            </w:r>
          </w:p>
        </w:tc>
      </w:tr>
      <w:tr w:rsidR="003F6D20" w:rsidRPr="00EE335B" w14:paraId="06252D6E" w14:textId="77777777" w:rsidTr="00EE335B">
        <w:trPr>
          <w:jc w:val="center"/>
        </w:trPr>
        <w:tc>
          <w:tcPr>
            <w:cnfStyle w:val="001000000000" w:firstRow="0" w:lastRow="0" w:firstColumn="1" w:lastColumn="0" w:oddVBand="0" w:evenVBand="0" w:oddHBand="0" w:evenHBand="0" w:firstRowFirstColumn="0" w:firstRowLastColumn="0" w:lastRowFirstColumn="0" w:lastRowLastColumn="0"/>
            <w:tcW w:w="1261" w:type="dxa"/>
            <w:shd w:val="clear" w:color="auto" w:fill="FFFFFF" w:themeFill="background1"/>
          </w:tcPr>
          <w:p w14:paraId="7D3B628F" w14:textId="77777777" w:rsidR="003F6D20" w:rsidRPr="00EE335B" w:rsidRDefault="003F6D20" w:rsidP="00AB59D5">
            <w:pPr>
              <w:rPr>
                <w:rFonts w:cs="Times New Roman"/>
                <w:b w:val="0"/>
                <w:color w:val="auto"/>
                <w:sz w:val="14"/>
              </w:rPr>
            </w:pPr>
            <w:r w:rsidRPr="00EE335B">
              <w:rPr>
                <w:rFonts w:cs="Times New Roman"/>
                <w:b w:val="0"/>
                <w:color w:val="auto"/>
                <w:sz w:val="14"/>
              </w:rPr>
              <w:t>Emeritus</w:t>
            </w:r>
          </w:p>
        </w:tc>
        <w:tc>
          <w:tcPr>
            <w:tcW w:w="1365" w:type="dxa"/>
            <w:shd w:val="clear" w:color="auto" w:fill="FFFFFF" w:themeFill="background1"/>
          </w:tcPr>
          <w:p w14:paraId="6A40FD23" w14:textId="77777777" w:rsidR="003F6D20" w:rsidRPr="00EE335B" w:rsidRDefault="003F6D20" w:rsidP="00AB59D5">
            <w:pPr>
              <w:pStyle w:val="NoSpacing"/>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605</w:t>
            </w:r>
          </w:p>
        </w:tc>
        <w:tc>
          <w:tcPr>
            <w:tcW w:w="1365" w:type="dxa"/>
            <w:shd w:val="clear" w:color="auto" w:fill="FFFFFF" w:themeFill="background1"/>
          </w:tcPr>
          <w:p w14:paraId="5A3C04D9" w14:textId="77777777" w:rsidR="003F6D20" w:rsidRPr="00EE335B" w:rsidRDefault="003F6D20" w:rsidP="00AB59D5">
            <w:pPr>
              <w:pStyle w:val="NoSpacing"/>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554</w:t>
            </w:r>
          </w:p>
        </w:tc>
        <w:tc>
          <w:tcPr>
            <w:tcW w:w="1365" w:type="dxa"/>
            <w:shd w:val="clear" w:color="auto" w:fill="FFFFFF" w:themeFill="background1"/>
          </w:tcPr>
          <w:p w14:paraId="4B92F091" w14:textId="77777777" w:rsidR="003F6D20" w:rsidRPr="00EE335B" w:rsidRDefault="003F6D20" w:rsidP="00AB59D5">
            <w:pPr>
              <w:pStyle w:val="NoSpacing"/>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448</w:t>
            </w:r>
          </w:p>
        </w:tc>
        <w:tc>
          <w:tcPr>
            <w:tcW w:w="1366" w:type="dxa"/>
            <w:shd w:val="clear" w:color="auto" w:fill="FFFFFF" w:themeFill="background1"/>
          </w:tcPr>
          <w:p w14:paraId="5F23CE8E" w14:textId="77777777" w:rsidR="003F6D20" w:rsidRPr="00EE335B" w:rsidRDefault="003F6D20" w:rsidP="00AB59D5">
            <w:pPr>
              <w:pStyle w:val="NoSpacing"/>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348</w:t>
            </w:r>
          </w:p>
        </w:tc>
        <w:tc>
          <w:tcPr>
            <w:tcW w:w="1366" w:type="dxa"/>
            <w:shd w:val="clear" w:color="auto" w:fill="FFFFFF" w:themeFill="background1"/>
          </w:tcPr>
          <w:p w14:paraId="7BB7FC4B" w14:textId="77777777" w:rsidR="003F6D20" w:rsidRPr="00EE335B" w:rsidRDefault="003F6D20" w:rsidP="00AB59D5">
            <w:pPr>
              <w:pStyle w:val="NoSpacing"/>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382</w:t>
            </w:r>
          </w:p>
        </w:tc>
        <w:tc>
          <w:tcPr>
            <w:tcW w:w="1262" w:type="dxa"/>
            <w:shd w:val="clear" w:color="auto" w:fill="FFFFFF" w:themeFill="background1"/>
          </w:tcPr>
          <w:p w14:paraId="5C56B9DD" w14:textId="77777777" w:rsidR="003F6D20" w:rsidRPr="00EE335B" w:rsidRDefault="003F6D20" w:rsidP="00AB59D5">
            <w:pPr>
              <w:pStyle w:val="NoSpacing"/>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381</w:t>
            </w:r>
          </w:p>
        </w:tc>
      </w:tr>
      <w:tr w:rsidR="003F6D20" w:rsidRPr="00EE335B" w14:paraId="1B12BCBE" w14:textId="77777777" w:rsidTr="00EE33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1" w:type="dxa"/>
            <w:tcBorders>
              <w:bottom w:val="single" w:sz="4" w:space="0" w:color="auto"/>
            </w:tcBorders>
            <w:shd w:val="clear" w:color="auto" w:fill="FFFFFF" w:themeFill="background1"/>
          </w:tcPr>
          <w:p w14:paraId="5B4C75C7" w14:textId="77777777" w:rsidR="003F6D20" w:rsidRPr="00EE335B" w:rsidRDefault="003F6D20" w:rsidP="00AB59D5">
            <w:pPr>
              <w:rPr>
                <w:rFonts w:cs="Times New Roman"/>
                <w:b w:val="0"/>
                <w:color w:val="auto"/>
                <w:sz w:val="14"/>
              </w:rPr>
            </w:pPr>
            <w:r w:rsidRPr="00EE335B">
              <w:rPr>
                <w:rFonts w:cs="Times New Roman"/>
                <w:b w:val="0"/>
                <w:color w:val="auto"/>
                <w:sz w:val="14"/>
              </w:rPr>
              <w:t>Other</w:t>
            </w:r>
          </w:p>
        </w:tc>
        <w:tc>
          <w:tcPr>
            <w:tcW w:w="1365" w:type="dxa"/>
            <w:tcBorders>
              <w:bottom w:val="single" w:sz="4" w:space="0" w:color="auto"/>
            </w:tcBorders>
            <w:shd w:val="clear" w:color="auto" w:fill="FFFFFF" w:themeFill="background1"/>
            <w:vAlign w:val="bottom"/>
          </w:tcPr>
          <w:p w14:paraId="1F4F4290" w14:textId="77777777" w:rsidR="003F6D20" w:rsidRPr="00EE335B" w:rsidRDefault="003F6D20" w:rsidP="00AB59D5">
            <w:pPr>
              <w:pStyle w:val="NoSpacing"/>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42</w:t>
            </w:r>
          </w:p>
        </w:tc>
        <w:tc>
          <w:tcPr>
            <w:tcW w:w="1365" w:type="dxa"/>
            <w:tcBorders>
              <w:bottom w:val="single" w:sz="4" w:space="0" w:color="auto"/>
            </w:tcBorders>
            <w:shd w:val="clear" w:color="auto" w:fill="FFFFFF" w:themeFill="background1"/>
            <w:vAlign w:val="bottom"/>
          </w:tcPr>
          <w:p w14:paraId="3EB95E09" w14:textId="77777777" w:rsidR="003F6D20" w:rsidRPr="00EE335B" w:rsidRDefault="003F6D20" w:rsidP="00AB59D5">
            <w:pPr>
              <w:pStyle w:val="NoSpacing"/>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40</w:t>
            </w:r>
          </w:p>
        </w:tc>
        <w:tc>
          <w:tcPr>
            <w:tcW w:w="1365" w:type="dxa"/>
            <w:tcBorders>
              <w:bottom w:val="single" w:sz="4" w:space="0" w:color="auto"/>
            </w:tcBorders>
            <w:shd w:val="clear" w:color="auto" w:fill="FFFFFF" w:themeFill="background1"/>
            <w:vAlign w:val="bottom"/>
          </w:tcPr>
          <w:p w14:paraId="6859634C" w14:textId="77777777" w:rsidR="003F6D20" w:rsidRPr="00EE335B" w:rsidRDefault="003F6D20" w:rsidP="00AB59D5">
            <w:pPr>
              <w:pStyle w:val="NoSpacing"/>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35</w:t>
            </w:r>
          </w:p>
        </w:tc>
        <w:tc>
          <w:tcPr>
            <w:tcW w:w="1366" w:type="dxa"/>
            <w:tcBorders>
              <w:bottom w:val="single" w:sz="4" w:space="0" w:color="auto"/>
            </w:tcBorders>
            <w:shd w:val="clear" w:color="auto" w:fill="FFFFFF" w:themeFill="background1"/>
            <w:vAlign w:val="bottom"/>
          </w:tcPr>
          <w:p w14:paraId="48434741" w14:textId="77777777" w:rsidR="003F6D20" w:rsidRPr="00EE335B" w:rsidRDefault="003F6D20" w:rsidP="00AB59D5">
            <w:pPr>
              <w:pStyle w:val="NoSpacing"/>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29</w:t>
            </w:r>
          </w:p>
        </w:tc>
        <w:tc>
          <w:tcPr>
            <w:tcW w:w="1366" w:type="dxa"/>
            <w:tcBorders>
              <w:bottom w:val="single" w:sz="4" w:space="0" w:color="auto"/>
            </w:tcBorders>
            <w:shd w:val="clear" w:color="auto" w:fill="FFFFFF" w:themeFill="background1"/>
            <w:vAlign w:val="bottom"/>
          </w:tcPr>
          <w:p w14:paraId="581170FD" w14:textId="77777777" w:rsidR="003F6D20" w:rsidRPr="00EE335B" w:rsidRDefault="003F6D20" w:rsidP="00AB59D5">
            <w:pPr>
              <w:pStyle w:val="NoSpacing"/>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35</w:t>
            </w:r>
          </w:p>
        </w:tc>
        <w:tc>
          <w:tcPr>
            <w:tcW w:w="1262" w:type="dxa"/>
            <w:tcBorders>
              <w:bottom w:val="single" w:sz="4" w:space="0" w:color="auto"/>
            </w:tcBorders>
            <w:shd w:val="clear" w:color="auto" w:fill="FFFFFF" w:themeFill="background1"/>
            <w:vAlign w:val="bottom"/>
          </w:tcPr>
          <w:p w14:paraId="302874B9" w14:textId="77777777" w:rsidR="003F6D20" w:rsidRPr="00EE335B" w:rsidRDefault="003F6D20" w:rsidP="00AB59D5">
            <w:pPr>
              <w:pStyle w:val="NoSpacing"/>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35</w:t>
            </w:r>
          </w:p>
        </w:tc>
      </w:tr>
      <w:tr w:rsidR="003F6D20" w:rsidRPr="00EE335B" w14:paraId="12023B9C" w14:textId="77777777" w:rsidTr="00EE335B">
        <w:trPr>
          <w:jc w:val="center"/>
        </w:trPr>
        <w:tc>
          <w:tcPr>
            <w:cnfStyle w:val="001000000000" w:firstRow="0" w:lastRow="0" w:firstColumn="1" w:lastColumn="0" w:oddVBand="0" w:evenVBand="0" w:oddHBand="0" w:evenHBand="0" w:firstRowFirstColumn="0" w:firstRowLastColumn="0" w:lastRowFirstColumn="0" w:lastRowLastColumn="0"/>
            <w:tcW w:w="1261" w:type="dxa"/>
            <w:tcBorders>
              <w:top w:val="single" w:sz="4" w:space="0" w:color="auto"/>
              <w:bottom w:val="single" w:sz="4" w:space="0" w:color="auto"/>
            </w:tcBorders>
            <w:shd w:val="clear" w:color="auto" w:fill="FFFFFF" w:themeFill="background1"/>
          </w:tcPr>
          <w:p w14:paraId="38DF8F34" w14:textId="77777777" w:rsidR="003F6D20" w:rsidRPr="00EE335B" w:rsidRDefault="003F6D20" w:rsidP="00AB59D5">
            <w:pPr>
              <w:rPr>
                <w:rFonts w:cs="Times New Roman"/>
                <w:b w:val="0"/>
                <w:color w:val="auto"/>
                <w:sz w:val="14"/>
              </w:rPr>
            </w:pPr>
            <w:r w:rsidRPr="00EE335B">
              <w:rPr>
                <w:rFonts w:cs="Times New Roman"/>
                <w:b w:val="0"/>
                <w:color w:val="auto"/>
                <w:sz w:val="14"/>
              </w:rPr>
              <w:t>Total</w:t>
            </w:r>
          </w:p>
        </w:tc>
        <w:tc>
          <w:tcPr>
            <w:tcW w:w="1365" w:type="dxa"/>
            <w:tcBorders>
              <w:top w:val="single" w:sz="4" w:space="0" w:color="auto"/>
              <w:bottom w:val="single" w:sz="4" w:space="0" w:color="auto"/>
            </w:tcBorders>
            <w:shd w:val="clear" w:color="auto" w:fill="FFFFFF" w:themeFill="background1"/>
          </w:tcPr>
          <w:p w14:paraId="738590FC" w14:textId="77777777" w:rsidR="003F6D20" w:rsidRPr="00EE335B" w:rsidRDefault="003F6D20" w:rsidP="00AB59D5">
            <w:pPr>
              <w:pStyle w:val="NoSpacing"/>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757</w:t>
            </w:r>
          </w:p>
        </w:tc>
        <w:tc>
          <w:tcPr>
            <w:tcW w:w="1365" w:type="dxa"/>
            <w:tcBorders>
              <w:top w:val="single" w:sz="4" w:space="0" w:color="auto"/>
              <w:bottom w:val="single" w:sz="4" w:space="0" w:color="auto"/>
            </w:tcBorders>
            <w:shd w:val="clear" w:color="auto" w:fill="FFFFFF" w:themeFill="background1"/>
          </w:tcPr>
          <w:p w14:paraId="6617FE3E" w14:textId="77777777" w:rsidR="003F6D20" w:rsidRPr="00EE335B" w:rsidRDefault="003F6D20" w:rsidP="00AB59D5">
            <w:pPr>
              <w:pStyle w:val="NoSpacing"/>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648</w:t>
            </w:r>
          </w:p>
        </w:tc>
        <w:tc>
          <w:tcPr>
            <w:tcW w:w="1365" w:type="dxa"/>
            <w:tcBorders>
              <w:top w:val="single" w:sz="4" w:space="0" w:color="auto"/>
              <w:bottom w:val="single" w:sz="4" w:space="0" w:color="auto"/>
            </w:tcBorders>
            <w:shd w:val="clear" w:color="auto" w:fill="FFFFFF" w:themeFill="background1"/>
          </w:tcPr>
          <w:p w14:paraId="4181838A" w14:textId="77777777" w:rsidR="003F6D20" w:rsidRPr="00EE335B" w:rsidRDefault="003F6D20" w:rsidP="00AB59D5">
            <w:pPr>
              <w:pStyle w:val="NoSpacing"/>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534</w:t>
            </w:r>
          </w:p>
        </w:tc>
        <w:tc>
          <w:tcPr>
            <w:tcW w:w="1366" w:type="dxa"/>
            <w:tcBorders>
              <w:top w:val="single" w:sz="4" w:space="0" w:color="auto"/>
              <w:bottom w:val="single" w:sz="4" w:space="0" w:color="auto"/>
            </w:tcBorders>
            <w:shd w:val="clear" w:color="auto" w:fill="FFFFFF" w:themeFill="background1"/>
          </w:tcPr>
          <w:p w14:paraId="20A01801" w14:textId="77777777" w:rsidR="003F6D20" w:rsidRPr="00EE335B" w:rsidRDefault="003F6D20" w:rsidP="00AB59D5">
            <w:pPr>
              <w:pStyle w:val="NoSpacing"/>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416</w:t>
            </w:r>
          </w:p>
        </w:tc>
        <w:tc>
          <w:tcPr>
            <w:tcW w:w="1366" w:type="dxa"/>
            <w:tcBorders>
              <w:top w:val="single" w:sz="4" w:space="0" w:color="auto"/>
              <w:bottom w:val="single" w:sz="4" w:space="0" w:color="auto"/>
            </w:tcBorders>
            <w:shd w:val="clear" w:color="auto" w:fill="FFFFFF" w:themeFill="background1"/>
          </w:tcPr>
          <w:p w14:paraId="38C5B428" w14:textId="77777777" w:rsidR="003F6D20" w:rsidRPr="00EE335B" w:rsidRDefault="003F6D20" w:rsidP="00AB59D5">
            <w:pPr>
              <w:pStyle w:val="NoSpacing"/>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461</w:t>
            </w:r>
          </w:p>
        </w:tc>
        <w:tc>
          <w:tcPr>
            <w:tcW w:w="1262" w:type="dxa"/>
            <w:tcBorders>
              <w:top w:val="single" w:sz="4" w:space="0" w:color="auto"/>
              <w:bottom w:val="single" w:sz="4" w:space="0" w:color="auto"/>
            </w:tcBorders>
            <w:shd w:val="clear" w:color="auto" w:fill="FFFFFF" w:themeFill="background1"/>
          </w:tcPr>
          <w:p w14:paraId="139D3B8D" w14:textId="77777777" w:rsidR="003F6D20" w:rsidRPr="00EE335B" w:rsidRDefault="003F6D20" w:rsidP="00AB59D5">
            <w:pPr>
              <w:pStyle w:val="NoSpacing"/>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466</w:t>
            </w:r>
          </w:p>
        </w:tc>
      </w:tr>
    </w:tbl>
    <w:bookmarkEnd w:id="3"/>
    <w:p w14:paraId="7AB589AA" w14:textId="77777777" w:rsidR="003F6D20" w:rsidRPr="00EE335B" w:rsidRDefault="003F6D20" w:rsidP="00AB59D5">
      <w:pPr>
        <w:rPr>
          <w:rFonts w:cs="Times New Roman"/>
          <w:sz w:val="20"/>
        </w:rPr>
      </w:pPr>
      <w:r w:rsidRPr="00EE335B">
        <w:rPr>
          <w:rFonts w:cs="Times New Roman"/>
          <w:i/>
          <w:sz w:val="14"/>
        </w:rPr>
        <w:t xml:space="preserve">Source: Management Information System (MIS) </w:t>
      </w:r>
    </w:p>
    <w:p w14:paraId="41739046" w14:textId="2097C8F4" w:rsidR="003F6D20" w:rsidRDefault="003F6D20" w:rsidP="00AB59D5">
      <w:pPr>
        <w:pStyle w:val="Normalwithspacebetween"/>
      </w:pPr>
      <w:r w:rsidRPr="00EE335B">
        <w:lastRenderedPageBreak/>
        <w:t>The data reveal that over the last six academic years, the number of Emeritus course section offerings decreased by 37.0</w:t>
      </w:r>
      <w:r w:rsidR="00B5133B">
        <w:t xml:space="preserve"> percent</w:t>
      </w:r>
      <w:r w:rsidRPr="00EE335B">
        <w:t xml:space="preserve"> from 605 sections in 2009-2010 to 381 in 2014-2015. During the same </w:t>
      </w:r>
      <w:r w:rsidRPr="00AB59D5">
        <w:t>period</w:t>
      </w:r>
      <w:r w:rsidRPr="00EE335B">
        <w:t>, the College reduced the number of course offerings in non-credit elementary by 97.3</w:t>
      </w:r>
      <w:r w:rsidR="00B5133B">
        <w:t xml:space="preserve"> percent</w:t>
      </w:r>
      <w:r w:rsidRPr="00EE335B">
        <w:t xml:space="preserve"> from 37 sections in 2009-2010 to 1 section in 2014-2015.</w:t>
      </w:r>
    </w:p>
    <w:p w14:paraId="09729CDB" w14:textId="77777777" w:rsidR="003F6D20" w:rsidRPr="00EE335B" w:rsidRDefault="003F6D20" w:rsidP="00733424">
      <w:pPr>
        <w:pStyle w:val="Heading4"/>
      </w:pPr>
      <w:r w:rsidRPr="00EE335B">
        <w:t>Credit and Non-Credit Student Headcount by Academic Year</w:t>
      </w:r>
    </w:p>
    <w:p w14:paraId="0CF845B8" w14:textId="77777777" w:rsidR="003F6D20" w:rsidRPr="00EE335B" w:rsidRDefault="003F6D20" w:rsidP="003F6D20">
      <w:pPr>
        <w:jc w:val="center"/>
        <w:rPr>
          <w:rFonts w:cs="Times New Roman"/>
          <w:sz w:val="20"/>
        </w:rPr>
      </w:pPr>
      <w:r w:rsidRPr="00EE335B">
        <w:rPr>
          <w:rFonts w:cs="Times New Roman"/>
          <w:noProof/>
          <w:sz w:val="32"/>
        </w:rPr>
        <w:drawing>
          <wp:inline distT="0" distB="0" distL="0" distR="0" wp14:anchorId="509B8944" wp14:editId="79EDE365">
            <wp:extent cx="5486400" cy="2626157"/>
            <wp:effectExtent l="0" t="0" r="0" b="31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B975440" w14:textId="77777777" w:rsidR="003F6D20" w:rsidRPr="00EE335B" w:rsidRDefault="003F6D20" w:rsidP="003F6D20">
      <w:pPr>
        <w:rPr>
          <w:rFonts w:cs="Times New Roman"/>
          <w:sz w:val="20"/>
        </w:rPr>
      </w:pPr>
      <w:r w:rsidRPr="00EE335B">
        <w:rPr>
          <w:rFonts w:cs="Times New Roman"/>
          <w:i/>
          <w:sz w:val="14"/>
        </w:rPr>
        <w:t xml:space="preserve">Source: Management Information System (MIS) </w:t>
      </w:r>
    </w:p>
    <w:p w14:paraId="6206B0BD" w14:textId="291D19A9" w:rsidR="003F6D20" w:rsidRPr="00EE335B" w:rsidRDefault="003F6D20" w:rsidP="00B71792">
      <w:pPr>
        <w:pStyle w:val="Normalwithspacebetween"/>
      </w:pPr>
      <w:r w:rsidRPr="00EE335B">
        <w:t>Over the last six academic years, total student headcount (credit and non-credit combined) decreased by 14.3</w:t>
      </w:r>
      <w:r w:rsidR="00B5133B">
        <w:t xml:space="preserve"> percent</w:t>
      </w:r>
      <w:r w:rsidRPr="00EE335B">
        <w:t xml:space="preserve"> from 55,451 in 2009-2010 to 47,496 in 2014-2015. During this time period, the headcount among the credit-student population decreased by 14.0</w:t>
      </w:r>
      <w:r w:rsidR="00B5133B">
        <w:t xml:space="preserve"> percent</w:t>
      </w:r>
      <w:r w:rsidRPr="00EE335B">
        <w:t xml:space="preserve"> (from 49,704 in 2009-2010 to 42,756 in 2014-2015), while headcount among the non-credit student population decreased by 17.5</w:t>
      </w:r>
      <w:r w:rsidR="00B5133B">
        <w:t xml:space="preserve"> percent</w:t>
      </w:r>
      <w:r w:rsidRPr="00EE335B">
        <w:t xml:space="preserve"> (from 5,747 in 2009-2010 to 4,740 in 2014-2015).</w:t>
      </w:r>
    </w:p>
    <w:p w14:paraId="4E821884" w14:textId="77777777" w:rsidR="003F6D20" w:rsidRPr="00EE335B" w:rsidRDefault="003F6D20" w:rsidP="00733424">
      <w:pPr>
        <w:pStyle w:val="Heading4"/>
      </w:pPr>
      <w:r w:rsidRPr="00EE335B">
        <w:t>FTES by Academic Year</w:t>
      </w:r>
    </w:p>
    <w:p w14:paraId="6FF34CC1" w14:textId="77777777" w:rsidR="003F6D20" w:rsidRPr="00EE335B" w:rsidRDefault="003F6D20" w:rsidP="003F6D20">
      <w:pPr>
        <w:jc w:val="center"/>
        <w:rPr>
          <w:rFonts w:cs="Times New Roman"/>
          <w:sz w:val="20"/>
        </w:rPr>
      </w:pPr>
      <w:r w:rsidRPr="00EE335B">
        <w:rPr>
          <w:rFonts w:cs="Times New Roman"/>
          <w:noProof/>
          <w:sz w:val="32"/>
        </w:rPr>
        <w:drawing>
          <wp:inline distT="0" distB="0" distL="0" distR="0" wp14:anchorId="363996E6" wp14:editId="5A5EBD1C">
            <wp:extent cx="5486400" cy="2626157"/>
            <wp:effectExtent l="0" t="0" r="0" b="31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D468EB" w14:textId="77777777" w:rsidR="003F6D20" w:rsidRPr="00EE335B" w:rsidRDefault="003F6D20" w:rsidP="003F6D20">
      <w:pPr>
        <w:rPr>
          <w:rFonts w:cs="Times New Roman"/>
          <w:sz w:val="20"/>
        </w:rPr>
      </w:pPr>
      <w:r w:rsidRPr="00EE335B">
        <w:rPr>
          <w:rFonts w:cs="Times New Roman"/>
          <w:i/>
          <w:sz w:val="14"/>
        </w:rPr>
        <w:t>Source: California Community College’s Chancellor’s Office DataMart</w:t>
      </w:r>
    </w:p>
    <w:p w14:paraId="6C871148" w14:textId="3C344000" w:rsidR="003F6D20" w:rsidRPr="00EE335B" w:rsidRDefault="003F6D20" w:rsidP="00B71792">
      <w:pPr>
        <w:pStyle w:val="Normalwithspacebetween"/>
      </w:pPr>
      <w:r w:rsidRPr="00EE335B">
        <w:lastRenderedPageBreak/>
        <w:t>The total annual Total Full Time Equivalent Students (FTES) decreased by 5.9</w:t>
      </w:r>
      <w:r w:rsidR="00B5133B">
        <w:t xml:space="preserve"> percent</w:t>
      </w:r>
      <w:r w:rsidRPr="00EE335B">
        <w:t xml:space="preserve"> (from 27,547 in 2009-2010 to 25,921 in 2014-2015). During this time period, the credit FTES decreased by 7.2</w:t>
      </w:r>
      <w:r w:rsidR="00B5133B">
        <w:t xml:space="preserve"> percent</w:t>
      </w:r>
      <w:r w:rsidRPr="00EE335B">
        <w:t xml:space="preserve"> (from 27,118 in 2009-2010 to 25,178 in 2014-2015). However, the non-credit FTES experienced an increase of 72.9</w:t>
      </w:r>
      <w:r w:rsidR="00B5133B">
        <w:t xml:space="preserve"> percent</w:t>
      </w:r>
      <w:r w:rsidRPr="00EE335B">
        <w:t xml:space="preserve"> (from 430 in 2009-2010 to 743 in 2014-2015). The data suggest that while the College enrolled fewer non-credit students in 2014-2015 when compared to 2009-2010 (see previous section), these students enrolled in more classes.</w:t>
      </w:r>
    </w:p>
    <w:p w14:paraId="150FB04C" w14:textId="77777777" w:rsidR="003F6D20" w:rsidRPr="00EE335B" w:rsidRDefault="003F6D20" w:rsidP="00733424">
      <w:pPr>
        <w:pStyle w:val="Heading3"/>
      </w:pPr>
      <w:r w:rsidRPr="00EE335B">
        <w:t>Description of Credit Student Population</w:t>
      </w:r>
    </w:p>
    <w:p w14:paraId="15EB0211" w14:textId="225FF582" w:rsidR="003F6D20" w:rsidRPr="00733424" w:rsidRDefault="003F6D20" w:rsidP="003F6D20">
      <w:pPr>
        <w:rPr>
          <w:rFonts w:cs="Times New Roman"/>
          <w:b/>
        </w:rPr>
      </w:pPr>
      <w:r w:rsidRPr="00733424">
        <w:rPr>
          <w:rFonts w:cs="Times New Roman"/>
          <w:b/>
        </w:rPr>
        <w:t>Student Demographic</w:t>
      </w:r>
      <w:r w:rsidR="00733424" w:rsidRPr="00733424">
        <w:rPr>
          <w:rFonts w:cs="Times New Roman"/>
          <w:b/>
        </w:rPr>
        <w:t xml:space="preserve"> Data</w:t>
      </w:r>
    </w:p>
    <w:p w14:paraId="73BB1153" w14:textId="77777777" w:rsidR="003F6D20" w:rsidRPr="00EE335B" w:rsidRDefault="003F6D20" w:rsidP="00733424">
      <w:pPr>
        <w:pStyle w:val="Heading4"/>
      </w:pPr>
      <w:r w:rsidRPr="00EE335B">
        <w:t>Gender</w:t>
      </w:r>
    </w:p>
    <w:p w14:paraId="6A94A478" w14:textId="0A441042" w:rsidR="003F6D20" w:rsidRDefault="003F6D20" w:rsidP="00B71792">
      <w:pPr>
        <w:pStyle w:val="Normalwithspacebetween"/>
      </w:pPr>
      <w:r w:rsidRPr="00EE335B">
        <w:t>In 2009-2010, Santa Monica College enrolled disproportionately more credit female (55.6</w:t>
      </w:r>
      <w:r w:rsidR="00B5133B">
        <w:t xml:space="preserve"> percent</w:t>
      </w:r>
      <w:r w:rsidRPr="00EE335B">
        <w:t>) than male (44.4</w:t>
      </w:r>
      <w:r w:rsidR="00B5133B">
        <w:t xml:space="preserve"> percent</w:t>
      </w:r>
      <w:r w:rsidRPr="00EE335B">
        <w:t>) students. However, over the last six academic years, the proportions of female and male students have become slightly more equal with 52.9</w:t>
      </w:r>
      <w:r w:rsidR="00B5133B">
        <w:t xml:space="preserve"> percent</w:t>
      </w:r>
      <w:r w:rsidRPr="00EE335B">
        <w:t xml:space="preserve"> of credit students enrolled in 2014-2015 identifying being female and 47.1</w:t>
      </w:r>
      <w:r w:rsidR="00B5133B">
        <w:t xml:space="preserve"> percent</w:t>
      </w:r>
      <w:r w:rsidRPr="00EE335B">
        <w:t xml:space="preserve"> identifying as male.</w:t>
      </w:r>
    </w:p>
    <w:p w14:paraId="63769198" w14:textId="77777777" w:rsidR="003F6D20" w:rsidRPr="00EE335B" w:rsidRDefault="003F6D20" w:rsidP="003F6D20">
      <w:pPr>
        <w:jc w:val="center"/>
        <w:rPr>
          <w:rFonts w:cs="Times New Roman"/>
          <w:sz w:val="20"/>
        </w:rPr>
      </w:pPr>
      <w:r w:rsidRPr="00EE335B">
        <w:rPr>
          <w:rFonts w:cs="Times New Roman"/>
          <w:sz w:val="20"/>
        </w:rPr>
        <w:t>Student Gender, 2009-2010 to 2014-2015</w:t>
      </w:r>
    </w:p>
    <w:tbl>
      <w:tblPr>
        <w:tblStyle w:val="GridTable5Dark-Accent51"/>
        <w:tblW w:w="0" w:type="auto"/>
        <w:tblLook w:val="04A0" w:firstRow="1" w:lastRow="0" w:firstColumn="1" w:lastColumn="0" w:noHBand="0" w:noVBand="1"/>
      </w:tblPr>
      <w:tblGrid>
        <w:gridCol w:w="1242"/>
        <w:gridCol w:w="1328"/>
        <w:gridCol w:w="1329"/>
        <w:gridCol w:w="1329"/>
        <w:gridCol w:w="1329"/>
        <w:gridCol w:w="1329"/>
        <w:gridCol w:w="1330"/>
      </w:tblGrid>
      <w:tr w:rsidR="003F6D20" w:rsidRPr="00EE335B" w14:paraId="248D29EF" w14:textId="77777777" w:rsidTr="00EE33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dxa"/>
            <w:tcBorders>
              <w:top w:val="nil"/>
              <w:left w:val="nil"/>
              <w:bottom w:val="nil"/>
            </w:tcBorders>
          </w:tcPr>
          <w:p w14:paraId="56BC53AD" w14:textId="77777777" w:rsidR="003F6D20" w:rsidRPr="00EE335B" w:rsidRDefault="003F6D20" w:rsidP="00EE335B">
            <w:pPr>
              <w:rPr>
                <w:rFonts w:cs="Times New Roman"/>
                <w:b w:val="0"/>
                <w:sz w:val="14"/>
              </w:rPr>
            </w:pPr>
          </w:p>
        </w:tc>
        <w:tc>
          <w:tcPr>
            <w:tcW w:w="1348" w:type="dxa"/>
            <w:tcBorders>
              <w:top w:val="nil"/>
              <w:bottom w:val="nil"/>
            </w:tcBorders>
          </w:tcPr>
          <w:p w14:paraId="11E2FD6D"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2009-2010</w:t>
            </w:r>
          </w:p>
          <w:p w14:paraId="4C20EF73"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49,704)</w:t>
            </w:r>
          </w:p>
        </w:tc>
        <w:tc>
          <w:tcPr>
            <w:tcW w:w="1348" w:type="dxa"/>
            <w:tcBorders>
              <w:top w:val="nil"/>
              <w:bottom w:val="nil"/>
            </w:tcBorders>
          </w:tcPr>
          <w:p w14:paraId="268EF91A"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2010-2011</w:t>
            </w:r>
          </w:p>
          <w:p w14:paraId="55F72A9E"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46,591)</w:t>
            </w:r>
          </w:p>
        </w:tc>
        <w:tc>
          <w:tcPr>
            <w:tcW w:w="1348" w:type="dxa"/>
            <w:tcBorders>
              <w:top w:val="nil"/>
              <w:bottom w:val="nil"/>
            </w:tcBorders>
          </w:tcPr>
          <w:p w14:paraId="062AD6E1"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2011-2012</w:t>
            </w:r>
          </w:p>
          <w:p w14:paraId="3482234C"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42,775)</w:t>
            </w:r>
          </w:p>
        </w:tc>
        <w:tc>
          <w:tcPr>
            <w:tcW w:w="1348" w:type="dxa"/>
            <w:tcBorders>
              <w:top w:val="nil"/>
              <w:bottom w:val="nil"/>
            </w:tcBorders>
          </w:tcPr>
          <w:p w14:paraId="7F90DEDE"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2012-2013</w:t>
            </w:r>
          </w:p>
          <w:p w14:paraId="73C2D6B1"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42,037)</w:t>
            </w:r>
          </w:p>
        </w:tc>
        <w:tc>
          <w:tcPr>
            <w:tcW w:w="1348" w:type="dxa"/>
            <w:tcBorders>
              <w:top w:val="nil"/>
              <w:bottom w:val="nil"/>
            </w:tcBorders>
          </w:tcPr>
          <w:p w14:paraId="14B341CF"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2013-2014</w:t>
            </w:r>
          </w:p>
          <w:p w14:paraId="3BF05F44"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41,553)</w:t>
            </w:r>
          </w:p>
        </w:tc>
        <w:tc>
          <w:tcPr>
            <w:tcW w:w="1349" w:type="dxa"/>
            <w:tcBorders>
              <w:top w:val="nil"/>
              <w:bottom w:val="nil"/>
              <w:right w:val="nil"/>
            </w:tcBorders>
          </w:tcPr>
          <w:p w14:paraId="0F838EF8"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2014-2015</w:t>
            </w:r>
          </w:p>
          <w:p w14:paraId="45107CB6"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42,756)</w:t>
            </w:r>
          </w:p>
        </w:tc>
      </w:tr>
      <w:tr w:rsidR="003F6D20" w:rsidRPr="00EE335B" w14:paraId="6CBD5D42" w14:textId="77777777" w:rsidTr="00EE3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dxa"/>
            <w:tcBorders>
              <w:top w:val="nil"/>
            </w:tcBorders>
            <w:shd w:val="clear" w:color="auto" w:fill="FFFFFF" w:themeFill="background1"/>
            <w:vAlign w:val="center"/>
          </w:tcPr>
          <w:p w14:paraId="568E8B2B" w14:textId="77777777" w:rsidR="003F6D20" w:rsidRPr="00EE335B" w:rsidRDefault="003F6D20" w:rsidP="00EE335B">
            <w:pPr>
              <w:rPr>
                <w:rFonts w:cs="Times New Roman"/>
                <w:b w:val="0"/>
                <w:color w:val="215868" w:themeColor="accent5" w:themeShade="80"/>
                <w:sz w:val="14"/>
              </w:rPr>
            </w:pPr>
            <w:r w:rsidRPr="00EE335B">
              <w:rPr>
                <w:rFonts w:cs="Times New Roman"/>
                <w:b w:val="0"/>
                <w:color w:val="215868" w:themeColor="accent5" w:themeShade="80"/>
                <w:sz w:val="14"/>
              </w:rPr>
              <w:t>Female</w:t>
            </w:r>
          </w:p>
        </w:tc>
        <w:tc>
          <w:tcPr>
            <w:tcW w:w="1348" w:type="dxa"/>
            <w:tcBorders>
              <w:top w:val="nil"/>
            </w:tcBorders>
            <w:shd w:val="clear" w:color="auto" w:fill="FFFFFF" w:themeFill="background1"/>
            <w:vAlign w:val="center"/>
          </w:tcPr>
          <w:p w14:paraId="357DC631"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55.6%</w:t>
            </w:r>
          </w:p>
        </w:tc>
        <w:tc>
          <w:tcPr>
            <w:tcW w:w="1348" w:type="dxa"/>
            <w:tcBorders>
              <w:top w:val="nil"/>
            </w:tcBorders>
            <w:shd w:val="clear" w:color="auto" w:fill="FFFFFF" w:themeFill="background1"/>
            <w:vAlign w:val="center"/>
          </w:tcPr>
          <w:p w14:paraId="352909E9"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55.0%</w:t>
            </w:r>
          </w:p>
        </w:tc>
        <w:tc>
          <w:tcPr>
            <w:tcW w:w="1348" w:type="dxa"/>
            <w:tcBorders>
              <w:top w:val="nil"/>
            </w:tcBorders>
            <w:shd w:val="clear" w:color="auto" w:fill="FFFFFF" w:themeFill="background1"/>
            <w:vAlign w:val="center"/>
          </w:tcPr>
          <w:p w14:paraId="026E0DC2"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54.1%</w:t>
            </w:r>
          </w:p>
        </w:tc>
        <w:tc>
          <w:tcPr>
            <w:tcW w:w="1348" w:type="dxa"/>
            <w:tcBorders>
              <w:top w:val="nil"/>
            </w:tcBorders>
            <w:shd w:val="clear" w:color="auto" w:fill="FFFFFF" w:themeFill="background1"/>
            <w:vAlign w:val="center"/>
          </w:tcPr>
          <w:p w14:paraId="53128459"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53.1%</w:t>
            </w:r>
          </w:p>
        </w:tc>
        <w:tc>
          <w:tcPr>
            <w:tcW w:w="1348" w:type="dxa"/>
            <w:tcBorders>
              <w:top w:val="nil"/>
            </w:tcBorders>
            <w:shd w:val="clear" w:color="auto" w:fill="FFFFFF" w:themeFill="background1"/>
            <w:vAlign w:val="center"/>
          </w:tcPr>
          <w:p w14:paraId="086C1F02"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52.5%</w:t>
            </w:r>
          </w:p>
        </w:tc>
        <w:tc>
          <w:tcPr>
            <w:tcW w:w="1349" w:type="dxa"/>
            <w:tcBorders>
              <w:top w:val="nil"/>
            </w:tcBorders>
            <w:shd w:val="clear" w:color="auto" w:fill="FFFFFF" w:themeFill="background1"/>
            <w:vAlign w:val="center"/>
          </w:tcPr>
          <w:p w14:paraId="36EE3D95"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52.9%</w:t>
            </w:r>
          </w:p>
        </w:tc>
      </w:tr>
      <w:tr w:rsidR="003F6D20" w:rsidRPr="00EE335B" w14:paraId="4B5F7D97" w14:textId="77777777" w:rsidTr="00EE335B">
        <w:tc>
          <w:tcPr>
            <w:cnfStyle w:val="001000000000" w:firstRow="0" w:lastRow="0" w:firstColumn="1" w:lastColumn="0" w:oddVBand="0" w:evenVBand="0" w:oddHBand="0" w:evenHBand="0" w:firstRowFirstColumn="0" w:firstRowLastColumn="0" w:lastRowFirstColumn="0" w:lastRowLastColumn="0"/>
            <w:tcW w:w="1261" w:type="dxa"/>
            <w:shd w:val="clear" w:color="auto" w:fill="FFFFFF" w:themeFill="background1"/>
            <w:vAlign w:val="center"/>
          </w:tcPr>
          <w:p w14:paraId="37AFAEE7" w14:textId="77777777" w:rsidR="003F6D20" w:rsidRPr="00EE335B" w:rsidRDefault="003F6D20" w:rsidP="00EE335B">
            <w:pPr>
              <w:rPr>
                <w:rFonts w:cs="Times New Roman"/>
                <w:b w:val="0"/>
                <w:color w:val="215868" w:themeColor="accent5" w:themeShade="80"/>
                <w:sz w:val="14"/>
              </w:rPr>
            </w:pPr>
            <w:r w:rsidRPr="00EE335B">
              <w:rPr>
                <w:rFonts w:cs="Times New Roman"/>
                <w:b w:val="0"/>
                <w:color w:val="215868" w:themeColor="accent5" w:themeShade="80"/>
                <w:sz w:val="14"/>
              </w:rPr>
              <w:t>Male</w:t>
            </w:r>
          </w:p>
        </w:tc>
        <w:tc>
          <w:tcPr>
            <w:tcW w:w="1348" w:type="dxa"/>
            <w:shd w:val="clear" w:color="auto" w:fill="FFFFFF" w:themeFill="background1"/>
            <w:vAlign w:val="center"/>
          </w:tcPr>
          <w:p w14:paraId="69D5AC8E"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44.4%</w:t>
            </w:r>
          </w:p>
        </w:tc>
        <w:tc>
          <w:tcPr>
            <w:tcW w:w="1348" w:type="dxa"/>
            <w:shd w:val="clear" w:color="auto" w:fill="FFFFFF" w:themeFill="background1"/>
            <w:vAlign w:val="center"/>
          </w:tcPr>
          <w:p w14:paraId="4549BF38"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45.0%</w:t>
            </w:r>
          </w:p>
        </w:tc>
        <w:tc>
          <w:tcPr>
            <w:tcW w:w="1348" w:type="dxa"/>
            <w:shd w:val="clear" w:color="auto" w:fill="FFFFFF" w:themeFill="background1"/>
            <w:vAlign w:val="center"/>
          </w:tcPr>
          <w:p w14:paraId="393995F2"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45.9%</w:t>
            </w:r>
          </w:p>
        </w:tc>
        <w:tc>
          <w:tcPr>
            <w:tcW w:w="1348" w:type="dxa"/>
            <w:shd w:val="clear" w:color="auto" w:fill="FFFFFF" w:themeFill="background1"/>
            <w:vAlign w:val="center"/>
          </w:tcPr>
          <w:p w14:paraId="713A2D24"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46.9%</w:t>
            </w:r>
          </w:p>
        </w:tc>
        <w:tc>
          <w:tcPr>
            <w:tcW w:w="1348" w:type="dxa"/>
            <w:shd w:val="clear" w:color="auto" w:fill="FFFFFF" w:themeFill="background1"/>
            <w:vAlign w:val="center"/>
          </w:tcPr>
          <w:p w14:paraId="5FE2C22D"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47.5%</w:t>
            </w:r>
          </w:p>
        </w:tc>
        <w:tc>
          <w:tcPr>
            <w:tcW w:w="1349" w:type="dxa"/>
            <w:shd w:val="clear" w:color="auto" w:fill="FFFFFF" w:themeFill="background1"/>
            <w:vAlign w:val="center"/>
          </w:tcPr>
          <w:p w14:paraId="19401B2E"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47.1%</w:t>
            </w:r>
          </w:p>
        </w:tc>
      </w:tr>
      <w:tr w:rsidR="003F6D20" w:rsidRPr="00EE335B" w14:paraId="7EE42F91" w14:textId="77777777" w:rsidTr="00EE3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dxa"/>
            <w:tcBorders>
              <w:top w:val="single" w:sz="4" w:space="0" w:color="auto"/>
              <w:bottom w:val="single" w:sz="4" w:space="0" w:color="auto"/>
            </w:tcBorders>
            <w:shd w:val="clear" w:color="auto" w:fill="FFFFFF" w:themeFill="background1"/>
            <w:vAlign w:val="center"/>
          </w:tcPr>
          <w:p w14:paraId="2961E771" w14:textId="77777777" w:rsidR="003F6D20" w:rsidRPr="00EE335B" w:rsidRDefault="003F6D20" w:rsidP="00EE335B">
            <w:pPr>
              <w:rPr>
                <w:rFonts w:cs="Times New Roman"/>
                <w:b w:val="0"/>
                <w:color w:val="215868" w:themeColor="accent5" w:themeShade="80"/>
                <w:sz w:val="14"/>
              </w:rPr>
            </w:pPr>
            <w:r w:rsidRPr="00EE335B">
              <w:rPr>
                <w:rFonts w:cs="Times New Roman"/>
                <w:b w:val="0"/>
                <w:color w:val="215868" w:themeColor="accent5" w:themeShade="80"/>
                <w:sz w:val="14"/>
              </w:rPr>
              <w:t>Total</w:t>
            </w:r>
          </w:p>
        </w:tc>
        <w:tc>
          <w:tcPr>
            <w:tcW w:w="1348" w:type="dxa"/>
            <w:tcBorders>
              <w:top w:val="single" w:sz="4" w:space="0" w:color="auto"/>
              <w:bottom w:val="single" w:sz="4" w:space="0" w:color="auto"/>
            </w:tcBorders>
            <w:shd w:val="clear" w:color="auto" w:fill="FFFFFF" w:themeFill="background1"/>
            <w:vAlign w:val="center"/>
          </w:tcPr>
          <w:p w14:paraId="2BF8AEDF"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8" w:type="dxa"/>
            <w:tcBorders>
              <w:top w:val="single" w:sz="4" w:space="0" w:color="auto"/>
              <w:bottom w:val="single" w:sz="4" w:space="0" w:color="auto"/>
            </w:tcBorders>
            <w:shd w:val="clear" w:color="auto" w:fill="FFFFFF" w:themeFill="background1"/>
            <w:vAlign w:val="center"/>
          </w:tcPr>
          <w:p w14:paraId="7E596C29"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8" w:type="dxa"/>
            <w:tcBorders>
              <w:top w:val="single" w:sz="4" w:space="0" w:color="auto"/>
              <w:bottom w:val="single" w:sz="4" w:space="0" w:color="auto"/>
            </w:tcBorders>
            <w:shd w:val="clear" w:color="auto" w:fill="FFFFFF" w:themeFill="background1"/>
            <w:vAlign w:val="center"/>
          </w:tcPr>
          <w:p w14:paraId="47976837"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8" w:type="dxa"/>
            <w:tcBorders>
              <w:top w:val="single" w:sz="4" w:space="0" w:color="auto"/>
              <w:bottom w:val="single" w:sz="4" w:space="0" w:color="auto"/>
            </w:tcBorders>
            <w:shd w:val="clear" w:color="auto" w:fill="FFFFFF" w:themeFill="background1"/>
            <w:vAlign w:val="center"/>
          </w:tcPr>
          <w:p w14:paraId="1685E19F"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8" w:type="dxa"/>
            <w:tcBorders>
              <w:top w:val="single" w:sz="4" w:space="0" w:color="auto"/>
              <w:bottom w:val="single" w:sz="4" w:space="0" w:color="auto"/>
            </w:tcBorders>
            <w:shd w:val="clear" w:color="auto" w:fill="FFFFFF" w:themeFill="background1"/>
            <w:vAlign w:val="center"/>
          </w:tcPr>
          <w:p w14:paraId="292D49DC"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9" w:type="dxa"/>
            <w:tcBorders>
              <w:top w:val="single" w:sz="4" w:space="0" w:color="auto"/>
              <w:bottom w:val="single" w:sz="4" w:space="0" w:color="auto"/>
            </w:tcBorders>
            <w:shd w:val="clear" w:color="auto" w:fill="FFFFFF" w:themeFill="background1"/>
            <w:vAlign w:val="center"/>
          </w:tcPr>
          <w:p w14:paraId="49774022"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r>
    </w:tbl>
    <w:p w14:paraId="1301B801" w14:textId="77777777" w:rsidR="003F6D20" w:rsidRPr="00EE335B" w:rsidRDefault="003F6D20" w:rsidP="003F6D20">
      <w:pPr>
        <w:rPr>
          <w:rFonts w:cs="Times New Roman"/>
          <w:sz w:val="20"/>
        </w:rPr>
      </w:pPr>
      <w:r w:rsidRPr="00EE335B">
        <w:rPr>
          <w:rFonts w:cs="Times New Roman"/>
          <w:i/>
          <w:sz w:val="14"/>
        </w:rPr>
        <w:t>Source: Management Information System (MIS)</w:t>
      </w:r>
    </w:p>
    <w:p w14:paraId="43FCA840" w14:textId="77777777" w:rsidR="003F6D20" w:rsidRPr="00EE335B" w:rsidRDefault="003F6D20" w:rsidP="003F6D20">
      <w:pPr>
        <w:rPr>
          <w:rFonts w:cs="Times New Roman"/>
          <w:i/>
          <w:sz w:val="20"/>
        </w:rPr>
      </w:pPr>
    </w:p>
    <w:p w14:paraId="4ECF6755" w14:textId="77777777" w:rsidR="003F6D20" w:rsidRPr="00EE335B" w:rsidRDefault="003F6D20" w:rsidP="00733424">
      <w:pPr>
        <w:pStyle w:val="Heading4"/>
      </w:pPr>
      <w:r w:rsidRPr="00EE335B">
        <w:t>Age Group</w:t>
      </w:r>
    </w:p>
    <w:p w14:paraId="05BBF7AE" w14:textId="1008499B" w:rsidR="003F6D20" w:rsidRDefault="003F6D20" w:rsidP="00B71792">
      <w:pPr>
        <w:pStyle w:val="Normalwithspacebetween"/>
      </w:pPr>
      <w:r w:rsidRPr="00EE335B">
        <w:t>The average age of credit students has remained relatively stable over the last six academic years. In 2014-2015, the average age among credit students was 24.43 years of age. A large majority of credit students are 24 years of age or younger, with the largest proportion of students represented in the 20-24 age group. The percentage of students 24 years of age or younger has increased from 66.3</w:t>
      </w:r>
      <w:r w:rsidR="00B5133B">
        <w:t xml:space="preserve"> percent</w:t>
      </w:r>
      <w:r w:rsidRPr="00EE335B">
        <w:t xml:space="preserve"> in 2009-2010 to 70.4</w:t>
      </w:r>
      <w:r w:rsidR="00B5133B">
        <w:t xml:space="preserve"> percent</w:t>
      </w:r>
      <w:r w:rsidRPr="00EE335B">
        <w:t xml:space="preserve"> in 2014-2015 which indicate that over the last six academic years, the credit student population has gotten younger. </w:t>
      </w:r>
    </w:p>
    <w:p w14:paraId="171992D9" w14:textId="77777777" w:rsidR="003F6D20" w:rsidRPr="00EE335B" w:rsidRDefault="003F6D20" w:rsidP="003F6D20">
      <w:pPr>
        <w:jc w:val="center"/>
        <w:rPr>
          <w:rFonts w:cs="Times New Roman"/>
          <w:sz w:val="20"/>
        </w:rPr>
      </w:pPr>
      <w:r w:rsidRPr="00EE335B">
        <w:rPr>
          <w:rFonts w:cs="Times New Roman"/>
          <w:sz w:val="20"/>
        </w:rPr>
        <w:t>Student Age Group, 2009-2010 to 2014-2015</w:t>
      </w:r>
    </w:p>
    <w:tbl>
      <w:tblPr>
        <w:tblStyle w:val="GridTable5Dark-Accent51"/>
        <w:tblW w:w="0" w:type="auto"/>
        <w:jc w:val="center"/>
        <w:tblLook w:val="04A0" w:firstRow="1" w:lastRow="0" w:firstColumn="1" w:lastColumn="0" w:noHBand="0" w:noVBand="1"/>
      </w:tblPr>
      <w:tblGrid>
        <w:gridCol w:w="1246"/>
        <w:gridCol w:w="1329"/>
        <w:gridCol w:w="1328"/>
        <w:gridCol w:w="1328"/>
        <w:gridCol w:w="1328"/>
        <w:gridCol w:w="1328"/>
        <w:gridCol w:w="1329"/>
      </w:tblGrid>
      <w:tr w:rsidR="003F6D20" w:rsidRPr="00EE335B" w14:paraId="5BB7C4B7" w14:textId="77777777" w:rsidTr="00EE335B">
        <w:trPr>
          <w:cnfStyle w:val="100000000000" w:firstRow="1" w:lastRow="0" w:firstColumn="0" w:lastColumn="0" w:oddVBand="0" w:evenVBand="0" w:oddHBand="0"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261" w:type="dxa"/>
            <w:tcBorders>
              <w:top w:val="nil"/>
              <w:left w:val="nil"/>
              <w:bottom w:val="nil"/>
            </w:tcBorders>
          </w:tcPr>
          <w:p w14:paraId="4B2350FE" w14:textId="77777777" w:rsidR="003F6D20" w:rsidRPr="00EE335B" w:rsidRDefault="003F6D20" w:rsidP="00EE335B">
            <w:pPr>
              <w:rPr>
                <w:rFonts w:cs="Times New Roman"/>
                <w:b w:val="0"/>
                <w:sz w:val="16"/>
              </w:rPr>
            </w:pPr>
          </w:p>
        </w:tc>
        <w:tc>
          <w:tcPr>
            <w:tcW w:w="1348" w:type="dxa"/>
            <w:tcBorders>
              <w:top w:val="nil"/>
              <w:bottom w:val="nil"/>
            </w:tcBorders>
          </w:tcPr>
          <w:p w14:paraId="24E70906"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2009-2010</w:t>
            </w:r>
          </w:p>
          <w:p w14:paraId="4E520278"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49,704)</w:t>
            </w:r>
          </w:p>
        </w:tc>
        <w:tc>
          <w:tcPr>
            <w:tcW w:w="1348" w:type="dxa"/>
            <w:tcBorders>
              <w:top w:val="nil"/>
              <w:bottom w:val="nil"/>
            </w:tcBorders>
          </w:tcPr>
          <w:p w14:paraId="3B35A6E3"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2010-2011</w:t>
            </w:r>
          </w:p>
          <w:p w14:paraId="14501E85"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46,591)</w:t>
            </w:r>
          </w:p>
        </w:tc>
        <w:tc>
          <w:tcPr>
            <w:tcW w:w="1348" w:type="dxa"/>
            <w:tcBorders>
              <w:top w:val="nil"/>
              <w:bottom w:val="nil"/>
            </w:tcBorders>
          </w:tcPr>
          <w:p w14:paraId="60AF95CD"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2011-2012</w:t>
            </w:r>
          </w:p>
          <w:p w14:paraId="4B12D03C"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42,775)</w:t>
            </w:r>
          </w:p>
        </w:tc>
        <w:tc>
          <w:tcPr>
            <w:tcW w:w="1348" w:type="dxa"/>
            <w:tcBorders>
              <w:top w:val="nil"/>
              <w:bottom w:val="nil"/>
            </w:tcBorders>
          </w:tcPr>
          <w:p w14:paraId="2BCB63D1"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2012-2013</w:t>
            </w:r>
          </w:p>
          <w:p w14:paraId="34C1107C"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42,037)</w:t>
            </w:r>
          </w:p>
        </w:tc>
        <w:tc>
          <w:tcPr>
            <w:tcW w:w="1348" w:type="dxa"/>
            <w:tcBorders>
              <w:top w:val="nil"/>
              <w:bottom w:val="nil"/>
            </w:tcBorders>
          </w:tcPr>
          <w:p w14:paraId="6DA22A6E"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2013-2014</w:t>
            </w:r>
          </w:p>
          <w:p w14:paraId="01429F72"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41,553)</w:t>
            </w:r>
          </w:p>
        </w:tc>
        <w:tc>
          <w:tcPr>
            <w:tcW w:w="1349" w:type="dxa"/>
            <w:tcBorders>
              <w:top w:val="nil"/>
              <w:bottom w:val="nil"/>
              <w:right w:val="nil"/>
            </w:tcBorders>
          </w:tcPr>
          <w:p w14:paraId="73EB9806"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2014-2015</w:t>
            </w:r>
          </w:p>
          <w:p w14:paraId="3034268D"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42,756)</w:t>
            </w:r>
          </w:p>
        </w:tc>
      </w:tr>
      <w:tr w:rsidR="003F6D20" w:rsidRPr="00EE335B" w14:paraId="0315F76B" w14:textId="77777777" w:rsidTr="00EE335B">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261" w:type="dxa"/>
            <w:tcBorders>
              <w:top w:val="nil"/>
            </w:tcBorders>
            <w:shd w:val="clear" w:color="auto" w:fill="FFFFFF" w:themeFill="background1"/>
            <w:vAlign w:val="center"/>
          </w:tcPr>
          <w:p w14:paraId="340283FC" w14:textId="77777777" w:rsidR="003F6D20" w:rsidRPr="00EE335B" w:rsidRDefault="003F6D20" w:rsidP="00EE335B">
            <w:pPr>
              <w:pStyle w:val="NoSpacing"/>
              <w:rPr>
                <w:rFonts w:ascii="Times New Roman" w:hAnsi="Times New Roman" w:cs="Times New Roman"/>
                <w:b w:val="0"/>
                <w:color w:val="auto"/>
                <w:sz w:val="14"/>
              </w:rPr>
            </w:pPr>
            <w:r w:rsidRPr="00EE335B">
              <w:rPr>
                <w:rFonts w:ascii="Times New Roman" w:hAnsi="Times New Roman" w:cs="Times New Roman"/>
                <w:b w:val="0"/>
                <w:color w:val="auto"/>
                <w:sz w:val="14"/>
              </w:rPr>
              <w:t xml:space="preserve">Under 20 </w:t>
            </w:r>
          </w:p>
        </w:tc>
        <w:tc>
          <w:tcPr>
            <w:tcW w:w="1348" w:type="dxa"/>
            <w:tcBorders>
              <w:top w:val="nil"/>
            </w:tcBorders>
            <w:shd w:val="clear" w:color="auto" w:fill="FFFFFF" w:themeFill="background1"/>
            <w:vAlign w:val="center"/>
          </w:tcPr>
          <w:p w14:paraId="5F8E3CC7"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30.2%</w:t>
            </w:r>
          </w:p>
        </w:tc>
        <w:tc>
          <w:tcPr>
            <w:tcW w:w="1348" w:type="dxa"/>
            <w:tcBorders>
              <w:top w:val="nil"/>
            </w:tcBorders>
            <w:shd w:val="clear" w:color="auto" w:fill="FFFFFF" w:themeFill="background1"/>
            <w:vAlign w:val="center"/>
          </w:tcPr>
          <w:p w14:paraId="6EBE7D26"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30.5%</w:t>
            </w:r>
          </w:p>
        </w:tc>
        <w:tc>
          <w:tcPr>
            <w:tcW w:w="1348" w:type="dxa"/>
            <w:tcBorders>
              <w:top w:val="nil"/>
            </w:tcBorders>
            <w:shd w:val="clear" w:color="auto" w:fill="FFFFFF" w:themeFill="background1"/>
            <w:vAlign w:val="center"/>
          </w:tcPr>
          <w:p w14:paraId="1CD4195C"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30.2%</w:t>
            </w:r>
          </w:p>
        </w:tc>
        <w:tc>
          <w:tcPr>
            <w:tcW w:w="1348" w:type="dxa"/>
            <w:tcBorders>
              <w:top w:val="nil"/>
            </w:tcBorders>
            <w:shd w:val="clear" w:color="auto" w:fill="FFFFFF" w:themeFill="background1"/>
            <w:vAlign w:val="center"/>
          </w:tcPr>
          <w:p w14:paraId="0FDDB052"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29.3%</w:t>
            </w:r>
          </w:p>
        </w:tc>
        <w:tc>
          <w:tcPr>
            <w:tcW w:w="1348" w:type="dxa"/>
            <w:tcBorders>
              <w:top w:val="nil"/>
            </w:tcBorders>
            <w:shd w:val="clear" w:color="auto" w:fill="FFFFFF" w:themeFill="background1"/>
            <w:vAlign w:val="center"/>
          </w:tcPr>
          <w:p w14:paraId="46C201B8"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28.7%</w:t>
            </w:r>
          </w:p>
        </w:tc>
        <w:tc>
          <w:tcPr>
            <w:tcW w:w="1349" w:type="dxa"/>
            <w:tcBorders>
              <w:top w:val="nil"/>
            </w:tcBorders>
            <w:shd w:val="clear" w:color="auto" w:fill="FFFFFF" w:themeFill="background1"/>
            <w:vAlign w:val="center"/>
          </w:tcPr>
          <w:p w14:paraId="1BC8D812"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28.5%</w:t>
            </w:r>
          </w:p>
        </w:tc>
      </w:tr>
      <w:tr w:rsidR="003F6D20" w:rsidRPr="00EE335B" w14:paraId="5B8F9196" w14:textId="77777777" w:rsidTr="00EE335B">
        <w:trPr>
          <w:trHeight w:val="389"/>
          <w:jc w:val="center"/>
        </w:trPr>
        <w:tc>
          <w:tcPr>
            <w:cnfStyle w:val="001000000000" w:firstRow="0" w:lastRow="0" w:firstColumn="1" w:lastColumn="0" w:oddVBand="0" w:evenVBand="0" w:oddHBand="0" w:evenHBand="0" w:firstRowFirstColumn="0" w:firstRowLastColumn="0" w:lastRowFirstColumn="0" w:lastRowLastColumn="0"/>
            <w:tcW w:w="1261" w:type="dxa"/>
            <w:shd w:val="clear" w:color="auto" w:fill="DAEEF3" w:themeFill="accent5" w:themeFillTint="33"/>
            <w:vAlign w:val="center"/>
          </w:tcPr>
          <w:p w14:paraId="7CC18548" w14:textId="77777777" w:rsidR="003F6D20" w:rsidRPr="00EE335B" w:rsidRDefault="003F6D20" w:rsidP="00EE335B">
            <w:pPr>
              <w:pStyle w:val="NoSpacing"/>
              <w:rPr>
                <w:rFonts w:ascii="Times New Roman" w:hAnsi="Times New Roman" w:cs="Times New Roman"/>
                <w:b w:val="0"/>
                <w:color w:val="auto"/>
                <w:sz w:val="14"/>
              </w:rPr>
            </w:pPr>
            <w:r w:rsidRPr="00EE335B">
              <w:rPr>
                <w:rFonts w:ascii="Times New Roman" w:hAnsi="Times New Roman" w:cs="Times New Roman"/>
                <w:b w:val="0"/>
                <w:color w:val="auto"/>
                <w:sz w:val="14"/>
              </w:rPr>
              <w:t>20-24</w:t>
            </w:r>
          </w:p>
        </w:tc>
        <w:tc>
          <w:tcPr>
            <w:tcW w:w="1348" w:type="dxa"/>
            <w:vAlign w:val="center"/>
          </w:tcPr>
          <w:p w14:paraId="27230AF4"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36.2%</w:t>
            </w:r>
          </w:p>
        </w:tc>
        <w:tc>
          <w:tcPr>
            <w:tcW w:w="1348" w:type="dxa"/>
            <w:vAlign w:val="center"/>
          </w:tcPr>
          <w:p w14:paraId="0667FD7F"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37.5%</w:t>
            </w:r>
          </w:p>
        </w:tc>
        <w:tc>
          <w:tcPr>
            <w:tcW w:w="1348" w:type="dxa"/>
            <w:vAlign w:val="center"/>
          </w:tcPr>
          <w:p w14:paraId="5E74B638"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39.3%</w:t>
            </w:r>
          </w:p>
        </w:tc>
        <w:tc>
          <w:tcPr>
            <w:tcW w:w="1348" w:type="dxa"/>
            <w:vAlign w:val="center"/>
          </w:tcPr>
          <w:p w14:paraId="3E7F6E51"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40.3%</w:t>
            </w:r>
          </w:p>
        </w:tc>
        <w:tc>
          <w:tcPr>
            <w:tcW w:w="1348" w:type="dxa"/>
            <w:vAlign w:val="center"/>
          </w:tcPr>
          <w:p w14:paraId="39B7E973"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41.5%</w:t>
            </w:r>
          </w:p>
        </w:tc>
        <w:tc>
          <w:tcPr>
            <w:tcW w:w="1349" w:type="dxa"/>
            <w:vAlign w:val="center"/>
          </w:tcPr>
          <w:p w14:paraId="5F83BA51"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41.9%</w:t>
            </w:r>
          </w:p>
        </w:tc>
      </w:tr>
      <w:tr w:rsidR="003F6D20" w:rsidRPr="00EE335B" w14:paraId="28B77212" w14:textId="77777777" w:rsidTr="00EE335B">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261" w:type="dxa"/>
            <w:shd w:val="clear" w:color="auto" w:fill="FFFFFF" w:themeFill="background1"/>
            <w:vAlign w:val="center"/>
          </w:tcPr>
          <w:p w14:paraId="2DD1115E" w14:textId="77777777" w:rsidR="003F6D20" w:rsidRPr="00EE335B" w:rsidRDefault="003F6D20" w:rsidP="00EE335B">
            <w:pPr>
              <w:pStyle w:val="NoSpacing"/>
              <w:rPr>
                <w:rFonts w:ascii="Times New Roman" w:hAnsi="Times New Roman" w:cs="Times New Roman"/>
                <w:b w:val="0"/>
                <w:color w:val="auto"/>
                <w:sz w:val="14"/>
              </w:rPr>
            </w:pPr>
            <w:r w:rsidRPr="00EE335B">
              <w:rPr>
                <w:rFonts w:ascii="Times New Roman" w:hAnsi="Times New Roman" w:cs="Times New Roman"/>
                <w:b w:val="0"/>
                <w:color w:val="auto"/>
                <w:sz w:val="14"/>
              </w:rPr>
              <w:t>25-29</w:t>
            </w:r>
          </w:p>
        </w:tc>
        <w:tc>
          <w:tcPr>
            <w:tcW w:w="1348" w:type="dxa"/>
            <w:shd w:val="clear" w:color="auto" w:fill="FFFFFF" w:themeFill="background1"/>
            <w:vAlign w:val="center"/>
          </w:tcPr>
          <w:p w14:paraId="48940FE0"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14.2%</w:t>
            </w:r>
          </w:p>
        </w:tc>
        <w:tc>
          <w:tcPr>
            <w:tcW w:w="1348" w:type="dxa"/>
            <w:shd w:val="clear" w:color="auto" w:fill="FFFFFF" w:themeFill="background1"/>
            <w:vAlign w:val="center"/>
          </w:tcPr>
          <w:p w14:paraId="7331DE36"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13.8%</w:t>
            </w:r>
          </w:p>
        </w:tc>
        <w:tc>
          <w:tcPr>
            <w:tcW w:w="1348" w:type="dxa"/>
            <w:shd w:val="clear" w:color="auto" w:fill="FFFFFF" w:themeFill="background1"/>
            <w:vAlign w:val="center"/>
          </w:tcPr>
          <w:p w14:paraId="5B26B5A7"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12.9%</w:t>
            </w:r>
          </w:p>
        </w:tc>
        <w:tc>
          <w:tcPr>
            <w:tcW w:w="1348" w:type="dxa"/>
            <w:shd w:val="clear" w:color="auto" w:fill="FFFFFF" w:themeFill="background1"/>
            <w:vAlign w:val="center"/>
          </w:tcPr>
          <w:p w14:paraId="7713A134"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13.4%</w:t>
            </w:r>
          </w:p>
        </w:tc>
        <w:tc>
          <w:tcPr>
            <w:tcW w:w="1348" w:type="dxa"/>
            <w:shd w:val="clear" w:color="auto" w:fill="FFFFFF" w:themeFill="background1"/>
            <w:vAlign w:val="center"/>
          </w:tcPr>
          <w:p w14:paraId="471C4A6A"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13.2%</w:t>
            </w:r>
          </w:p>
        </w:tc>
        <w:tc>
          <w:tcPr>
            <w:tcW w:w="1349" w:type="dxa"/>
            <w:shd w:val="clear" w:color="auto" w:fill="FFFFFF" w:themeFill="background1"/>
            <w:vAlign w:val="center"/>
          </w:tcPr>
          <w:p w14:paraId="235FAE89"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13.4%</w:t>
            </w:r>
          </w:p>
        </w:tc>
      </w:tr>
      <w:tr w:rsidR="003F6D20" w:rsidRPr="00EE335B" w14:paraId="5CDB04D2" w14:textId="77777777" w:rsidTr="00EE335B">
        <w:trPr>
          <w:trHeight w:val="389"/>
          <w:jc w:val="center"/>
        </w:trPr>
        <w:tc>
          <w:tcPr>
            <w:cnfStyle w:val="001000000000" w:firstRow="0" w:lastRow="0" w:firstColumn="1" w:lastColumn="0" w:oddVBand="0" w:evenVBand="0" w:oddHBand="0" w:evenHBand="0" w:firstRowFirstColumn="0" w:firstRowLastColumn="0" w:lastRowFirstColumn="0" w:lastRowLastColumn="0"/>
            <w:tcW w:w="1261" w:type="dxa"/>
            <w:shd w:val="clear" w:color="auto" w:fill="DAEEF3" w:themeFill="accent5" w:themeFillTint="33"/>
            <w:vAlign w:val="center"/>
          </w:tcPr>
          <w:p w14:paraId="209FEE23" w14:textId="77777777" w:rsidR="003F6D20" w:rsidRPr="00EE335B" w:rsidRDefault="003F6D20" w:rsidP="00EE335B">
            <w:pPr>
              <w:pStyle w:val="NoSpacing"/>
              <w:rPr>
                <w:rFonts w:ascii="Times New Roman" w:hAnsi="Times New Roman" w:cs="Times New Roman"/>
                <w:b w:val="0"/>
                <w:color w:val="auto"/>
                <w:sz w:val="14"/>
              </w:rPr>
            </w:pPr>
            <w:r w:rsidRPr="00EE335B">
              <w:rPr>
                <w:rFonts w:ascii="Times New Roman" w:hAnsi="Times New Roman" w:cs="Times New Roman"/>
                <w:b w:val="0"/>
                <w:color w:val="auto"/>
                <w:sz w:val="14"/>
              </w:rPr>
              <w:t>30-39</w:t>
            </w:r>
          </w:p>
        </w:tc>
        <w:tc>
          <w:tcPr>
            <w:tcW w:w="1348" w:type="dxa"/>
            <w:vAlign w:val="center"/>
          </w:tcPr>
          <w:p w14:paraId="327F8723" w14:textId="40CAA760"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11.3</w:t>
            </w:r>
            <w:r w:rsidR="00B5133B" w:rsidRPr="00EE335B">
              <w:rPr>
                <w:rFonts w:ascii="Times New Roman" w:hAnsi="Times New Roman" w:cs="Times New Roman"/>
                <w:color w:val="000000"/>
                <w:sz w:val="14"/>
              </w:rPr>
              <w:t>%</w:t>
            </w:r>
          </w:p>
        </w:tc>
        <w:tc>
          <w:tcPr>
            <w:tcW w:w="1348" w:type="dxa"/>
            <w:vAlign w:val="center"/>
          </w:tcPr>
          <w:p w14:paraId="61701C0F"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10.5%</w:t>
            </w:r>
          </w:p>
        </w:tc>
        <w:tc>
          <w:tcPr>
            <w:tcW w:w="1348" w:type="dxa"/>
            <w:vAlign w:val="center"/>
          </w:tcPr>
          <w:p w14:paraId="24F15D31"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10.1%</w:t>
            </w:r>
          </w:p>
        </w:tc>
        <w:tc>
          <w:tcPr>
            <w:tcW w:w="1348" w:type="dxa"/>
            <w:vAlign w:val="center"/>
          </w:tcPr>
          <w:p w14:paraId="5A90F04C"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9.8%</w:t>
            </w:r>
          </w:p>
        </w:tc>
        <w:tc>
          <w:tcPr>
            <w:tcW w:w="1348" w:type="dxa"/>
            <w:vAlign w:val="center"/>
          </w:tcPr>
          <w:p w14:paraId="055F891A"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9.6%</w:t>
            </w:r>
          </w:p>
        </w:tc>
        <w:tc>
          <w:tcPr>
            <w:tcW w:w="1349" w:type="dxa"/>
            <w:vAlign w:val="center"/>
          </w:tcPr>
          <w:p w14:paraId="3D1B56BA"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9.3%</w:t>
            </w:r>
          </w:p>
        </w:tc>
      </w:tr>
      <w:tr w:rsidR="003F6D20" w:rsidRPr="00EE335B" w14:paraId="57F6A358" w14:textId="77777777" w:rsidTr="00EE335B">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261" w:type="dxa"/>
            <w:shd w:val="clear" w:color="auto" w:fill="FFFFFF" w:themeFill="background1"/>
            <w:vAlign w:val="center"/>
          </w:tcPr>
          <w:p w14:paraId="5954D1AA" w14:textId="77777777" w:rsidR="003F6D20" w:rsidRPr="00EE335B" w:rsidRDefault="003F6D20" w:rsidP="00EE335B">
            <w:pPr>
              <w:pStyle w:val="NoSpacing"/>
              <w:rPr>
                <w:rFonts w:ascii="Times New Roman" w:hAnsi="Times New Roman" w:cs="Times New Roman"/>
                <w:b w:val="0"/>
                <w:color w:val="auto"/>
                <w:sz w:val="14"/>
              </w:rPr>
            </w:pPr>
            <w:r w:rsidRPr="00EE335B">
              <w:rPr>
                <w:rFonts w:ascii="Times New Roman" w:hAnsi="Times New Roman" w:cs="Times New Roman"/>
                <w:b w:val="0"/>
                <w:color w:val="auto"/>
                <w:sz w:val="14"/>
              </w:rPr>
              <w:t>40-49</w:t>
            </w:r>
          </w:p>
        </w:tc>
        <w:tc>
          <w:tcPr>
            <w:tcW w:w="1348" w:type="dxa"/>
            <w:shd w:val="clear" w:color="auto" w:fill="FFFFFF" w:themeFill="background1"/>
            <w:vAlign w:val="center"/>
          </w:tcPr>
          <w:p w14:paraId="25FC5DBF"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4.7%</w:t>
            </w:r>
          </w:p>
        </w:tc>
        <w:tc>
          <w:tcPr>
            <w:tcW w:w="1348" w:type="dxa"/>
            <w:shd w:val="clear" w:color="auto" w:fill="FFFFFF" w:themeFill="background1"/>
            <w:vAlign w:val="center"/>
          </w:tcPr>
          <w:p w14:paraId="5DA52CF2"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4.5%</w:t>
            </w:r>
          </w:p>
        </w:tc>
        <w:tc>
          <w:tcPr>
            <w:tcW w:w="1348" w:type="dxa"/>
            <w:shd w:val="clear" w:color="auto" w:fill="FFFFFF" w:themeFill="background1"/>
            <w:vAlign w:val="center"/>
          </w:tcPr>
          <w:p w14:paraId="24BA2179"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4.3%</w:t>
            </w:r>
          </w:p>
        </w:tc>
        <w:tc>
          <w:tcPr>
            <w:tcW w:w="1348" w:type="dxa"/>
            <w:shd w:val="clear" w:color="auto" w:fill="FFFFFF" w:themeFill="background1"/>
            <w:vAlign w:val="center"/>
          </w:tcPr>
          <w:p w14:paraId="13A2E578"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4.1%</w:t>
            </w:r>
          </w:p>
        </w:tc>
        <w:tc>
          <w:tcPr>
            <w:tcW w:w="1348" w:type="dxa"/>
            <w:shd w:val="clear" w:color="auto" w:fill="FFFFFF" w:themeFill="background1"/>
            <w:vAlign w:val="center"/>
          </w:tcPr>
          <w:p w14:paraId="6B49DD25"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3.8%</w:t>
            </w:r>
          </w:p>
        </w:tc>
        <w:tc>
          <w:tcPr>
            <w:tcW w:w="1349" w:type="dxa"/>
            <w:shd w:val="clear" w:color="auto" w:fill="FFFFFF" w:themeFill="background1"/>
            <w:vAlign w:val="center"/>
          </w:tcPr>
          <w:p w14:paraId="0BB5C942"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3.7%</w:t>
            </w:r>
          </w:p>
        </w:tc>
      </w:tr>
      <w:tr w:rsidR="003F6D20" w:rsidRPr="00EE335B" w14:paraId="05DB9EC8" w14:textId="77777777" w:rsidTr="00EE335B">
        <w:trPr>
          <w:trHeight w:val="389"/>
          <w:jc w:val="center"/>
        </w:trPr>
        <w:tc>
          <w:tcPr>
            <w:cnfStyle w:val="001000000000" w:firstRow="0" w:lastRow="0" w:firstColumn="1" w:lastColumn="0" w:oddVBand="0" w:evenVBand="0" w:oddHBand="0" w:evenHBand="0" w:firstRowFirstColumn="0" w:firstRowLastColumn="0" w:lastRowFirstColumn="0" w:lastRowLastColumn="0"/>
            <w:tcW w:w="1261" w:type="dxa"/>
            <w:shd w:val="clear" w:color="auto" w:fill="DAEEF3" w:themeFill="accent5" w:themeFillTint="33"/>
            <w:vAlign w:val="center"/>
          </w:tcPr>
          <w:p w14:paraId="2BE553EB" w14:textId="77777777" w:rsidR="003F6D20" w:rsidRPr="00EE335B" w:rsidRDefault="003F6D20" w:rsidP="00EE335B">
            <w:pPr>
              <w:pStyle w:val="NoSpacing"/>
              <w:rPr>
                <w:rFonts w:ascii="Times New Roman" w:hAnsi="Times New Roman" w:cs="Times New Roman"/>
                <w:b w:val="0"/>
                <w:color w:val="auto"/>
                <w:sz w:val="14"/>
              </w:rPr>
            </w:pPr>
            <w:r w:rsidRPr="00EE335B">
              <w:rPr>
                <w:rFonts w:ascii="Times New Roman" w:hAnsi="Times New Roman" w:cs="Times New Roman"/>
                <w:b w:val="0"/>
                <w:color w:val="auto"/>
                <w:sz w:val="14"/>
              </w:rPr>
              <w:t>50 and older</w:t>
            </w:r>
          </w:p>
        </w:tc>
        <w:tc>
          <w:tcPr>
            <w:tcW w:w="1348" w:type="dxa"/>
            <w:vAlign w:val="center"/>
          </w:tcPr>
          <w:p w14:paraId="17D115E5"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3.5%</w:t>
            </w:r>
          </w:p>
        </w:tc>
        <w:tc>
          <w:tcPr>
            <w:tcW w:w="1348" w:type="dxa"/>
            <w:vAlign w:val="center"/>
          </w:tcPr>
          <w:p w14:paraId="4B41BC85"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3.2%</w:t>
            </w:r>
          </w:p>
        </w:tc>
        <w:tc>
          <w:tcPr>
            <w:tcW w:w="1348" w:type="dxa"/>
            <w:vAlign w:val="center"/>
          </w:tcPr>
          <w:p w14:paraId="33EA1B59"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3.2%</w:t>
            </w:r>
          </w:p>
        </w:tc>
        <w:tc>
          <w:tcPr>
            <w:tcW w:w="1348" w:type="dxa"/>
            <w:vAlign w:val="center"/>
          </w:tcPr>
          <w:p w14:paraId="372807CA"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3.2%</w:t>
            </w:r>
          </w:p>
        </w:tc>
        <w:tc>
          <w:tcPr>
            <w:tcW w:w="1348" w:type="dxa"/>
            <w:vAlign w:val="center"/>
          </w:tcPr>
          <w:p w14:paraId="15BF9DC9"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3.2%</w:t>
            </w:r>
          </w:p>
        </w:tc>
        <w:tc>
          <w:tcPr>
            <w:tcW w:w="1349" w:type="dxa"/>
            <w:vAlign w:val="center"/>
          </w:tcPr>
          <w:p w14:paraId="7314F3D8"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3.3%</w:t>
            </w:r>
          </w:p>
        </w:tc>
      </w:tr>
      <w:tr w:rsidR="003F6D20" w:rsidRPr="00EE335B" w14:paraId="6E11047C" w14:textId="77777777" w:rsidTr="00EE335B">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261" w:type="dxa"/>
            <w:tcBorders>
              <w:top w:val="single" w:sz="4" w:space="0" w:color="auto"/>
              <w:bottom w:val="nil"/>
            </w:tcBorders>
            <w:shd w:val="clear" w:color="auto" w:fill="FFFFFF" w:themeFill="background1"/>
            <w:vAlign w:val="center"/>
          </w:tcPr>
          <w:p w14:paraId="55671521" w14:textId="77777777" w:rsidR="003F6D20" w:rsidRPr="00EE335B" w:rsidRDefault="003F6D20" w:rsidP="00EE335B">
            <w:pPr>
              <w:rPr>
                <w:rFonts w:cs="Times New Roman"/>
                <w:b w:val="0"/>
                <w:color w:val="215868" w:themeColor="accent5" w:themeShade="80"/>
                <w:sz w:val="14"/>
              </w:rPr>
            </w:pPr>
            <w:r w:rsidRPr="00EE335B">
              <w:rPr>
                <w:rFonts w:cs="Times New Roman"/>
                <w:b w:val="0"/>
                <w:color w:val="215868" w:themeColor="accent5" w:themeShade="80"/>
                <w:sz w:val="14"/>
              </w:rPr>
              <w:t>Total</w:t>
            </w:r>
          </w:p>
        </w:tc>
        <w:tc>
          <w:tcPr>
            <w:tcW w:w="1348" w:type="dxa"/>
            <w:tcBorders>
              <w:top w:val="single" w:sz="4" w:space="0" w:color="auto"/>
              <w:bottom w:val="nil"/>
            </w:tcBorders>
            <w:shd w:val="clear" w:color="auto" w:fill="FFFFFF" w:themeFill="background1"/>
            <w:vAlign w:val="center"/>
          </w:tcPr>
          <w:p w14:paraId="6EA26ED9"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8" w:type="dxa"/>
            <w:tcBorders>
              <w:top w:val="single" w:sz="4" w:space="0" w:color="auto"/>
              <w:bottom w:val="nil"/>
            </w:tcBorders>
            <w:shd w:val="clear" w:color="auto" w:fill="FFFFFF" w:themeFill="background1"/>
            <w:vAlign w:val="center"/>
          </w:tcPr>
          <w:p w14:paraId="68836F32"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8" w:type="dxa"/>
            <w:tcBorders>
              <w:top w:val="single" w:sz="4" w:space="0" w:color="auto"/>
              <w:bottom w:val="nil"/>
            </w:tcBorders>
            <w:shd w:val="clear" w:color="auto" w:fill="FFFFFF" w:themeFill="background1"/>
            <w:vAlign w:val="center"/>
          </w:tcPr>
          <w:p w14:paraId="154DAE74"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8" w:type="dxa"/>
            <w:tcBorders>
              <w:top w:val="single" w:sz="4" w:space="0" w:color="auto"/>
              <w:bottom w:val="nil"/>
            </w:tcBorders>
            <w:shd w:val="clear" w:color="auto" w:fill="FFFFFF" w:themeFill="background1"/>
            <w:vAlign w:val="center"/>
          </w:tcPr>
          <w:p w14:paraId="602A5116"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8" w:type="dxa"/>
            <w:tcBorders>
              <w:top w:val="single" w:sz="4" w:space="0" w:color="auto"/>
              <w:bottom w:val="nil"/>
            </w:tcBorders>
            <w:shd w:val="clear" w:color="auto" w:fill="FFFFFF" w:themeFill="background1"/>
            <w:vAlign w:val="center"/>
          </w:tcPr>
          <w:p w14:paraId="527594A1"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9" w:type="dxa"/>
            <w:tcBorders>
              <w:top w:val="single" w:sz="4" w:space="0" w:color="auto"/>
              <w:bottom w:val="nil"/>
            </w:tcBorders>
            <w:shd w:val="clear" w:color="auto" w:fill="FFFFFF" w:themeFill="background1"/>
            <w:vAlign w:val="center"/>
          </w:tcPr>
          <w:p w14:paraId="03D3C3F3"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r>
      <w:tr w:rsidR="003F6D20" w:rsidRPr="00EE335B" w14:paraId="6787EB37" w14:textId="77777777" w:rsidTr="00EE335B">
        <w:trPr>
          <w:trHeight w:val="389"/>
          <w:jc w:val="center"/>
        </w:trPr>
        <w:tc>
          <w:tcPr>
            <w:cnfStyle w:val="001000000000" w:firstRow="0" w:lastRow="0" w:firstColumn="1" w:lastColumn="0" w:oddVBand="0" w:evenVBand="0" w:oddHBand="0" w:evenHBand="0" w:firstRowFirstColumn="0" w:firstRowLastColumn="0" w:lastRowFirstColumn="0" w:lastRowLastColumn="0"/>
            <w:tcW w:w="1261" w:type="dxa"/>
            <w:tcBorders>
              <w:top w:val="nil"/>
              <w:left w:val="nil"/>
              <w:bottom w:val="nil"/>
              <w:right w:val="nil"/>
            </w:tcBorders>
            <w:shd w:val="clear" w:color="auto" w:fill="215868" w:themeFill="accent5" w:themeFillShade="80"/>
            <w:vAlign w:val="center"/>
          </w:tcPr>
          <w:p w14:paraId="1DE606A1" w14:textId="77777777" w:rsidR="003F6D20" w:rsidRPr="00EE335B" w:rsidRDefault="003F6D20" w:rsidP="00EE335B">
            <w:pPr>
              <w:rPr>
                <w:rFonts w:cs="Times New Roman"/>
                <w:b w:val="0"/>
                <w:sz w:val="14"/>
              </w:rPr>
            </w:pPr>
            <w:r w:rsidRPr="00EE335B">
              <w:rPr>
                <w:rFonts w:cs="Times New Roman"/>
                <w:b w:val="0"/>
                <w:sz w:val="14"/>
              </w:rPr>
              <w:t>Average Age</w:t>
            </w:r>
          </w:p>
        </w:tc>
        <w:tc>
          <w:tcPr>
            <w:tcW w:w="1348" w:type="dxa"/>
            <w:tcBorders>
              <w:top w:val="nil"/>
              <w:left w:val="nil"/>
              <w:bottom w:val="nil"/>
              <w:right w:val="nil"/>
            </w:tcBorders>
            <w:shd w:val="clear" w:color="auto" w:fill="215868" w:themeFill="accent5" w:themeFillShade="80"/>
            <w:vAlign w:val="center"/>
          </w:tcPr>
          <w:p w14:paraId="1C991273"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4"/>
              </w:rPr>
            </w:pPr>
            <w:r w:rsidRPr="00EE335B">
              <w:rPr>
                <w:rFonts w:ascii="Times New Roman" w:hAnsi="Times New Roman" w:cs="Times New Roman"/>
                <w:color w:val="FFFFFF" w:themeColor="background1"/>
                <w:sz w:val="14"/>
              </w:rPr>
              <w:t>24.94</w:t>
            </w:r>
          </w:p>
        </w:tc>
        <w:tc>
          <w:tcPr>
            <w:tcW w:w="1348" w:type="dxa"/>
            <w:tcBorders>
              <w:top w:val="nil"/>
              <w:left w:val="nil"/>
              <w:bottom w:val="nil"/>
              <w:right w:val="nil"/>
            </w:tcBorders>
            <w:shd w:val="clear" w:color="auto" w:fill="215868" w:themeFill="accent5" w:themeFillShade="80"/>
            <w:vAlign w:val="center"/>
          </w:tcPr>
          <w:p w14:paraId="376595F4"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4"/>
              </w:rPr>
            </w:pPr>
            <w:r w:rsidRPr="00EE335B">
              <w:rPr>
                <w:rFonts w:ascii="Times New Roman" w:hAnsi="Times New Roman" w:cs="Times New Roman"/>
                <w:color w:val="FFFFFF" w:themeColor="background1"/>
                <w:sz w:val="14"/>
              </w:rPr>
              <w:t>24.67</w:t>
            </w:r>
          </w:p>
        </w:tc>
        <w:tc>
          <w:tcPr>
            <w:tcW w:w="1348" w:type="dxa"/>
            <w:tcBorders>
              <w:top w:val="nil"/>
              <w:left w:val="nil"/>
              <w:bottom w:val="nil"/>
              <w:right w:val="nil"/>
            </w:tcBorders>
            <w:shd w:val="clear" w:color="auto" w:fill="215868" w:themeFill="accent5" w:themeFillShade="80"/>
            <w:vAlign w:val="center"/>
          </w:tcPr>
          <w:p w14:paraId="4F3672C1"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4"/>
              </w:rPr>
            </w:pPr>
            <w:r w:rsidRPr="00EE335B">
              <w:rPr>
                <w:rFonts w:ascii="Times New Roman" w:hAnsi="Times New Roman" w:cs="Times New Roman"/>
                <w:color w:val="FFFFFF" w:themeColor="background1"/>
                <w:sz w:val="14"/>
              </w:rPr>
              <w:t>24.52</w:t>
            </w:r>
          </w:p>
        </w:tc>
        <w:tc>
          <w:tcPr>
            <w:tcW w:w="1348" w:type="dxa"/>
            <w:tcBorders>
              <w:top w:val="nil"/>
              <w:left w:val="nil"/>
              <w:bottom w:val="nil"/>
              <w:right w:val="nil"/>
            </w:tcBorders>
            <w:shd w:val="clear" w:color="auto" w:fill="215868" w:themeFill="accent5" w:themeFillShade="80"/>
            <w:vAlign w:val="center"/>
          </w:tcPr>
          <w:p w14:paraId="76DD2A08"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4"/>
              </w:rPr>
            </w:pPr>
            <w:r w:rsidRPr="00EE335B">
              <w:rPr>
                <w:rFonts w:ascii="Times New Roman" w:hAnsi="Times New Roman" w:cs="Times New Roman"/>
                <w:color w:val="FFFFFF" w:themeColor="background1"/>
                <w:sz w:val="14"/>
              </w:rPr>
              <w:t>24.50</w:t>
            </w:r>
          </w:p>
        </w:tc>
        <w:tc>
          <w:tcPr>
            <w:tcW w:w="1348" w:type="dxa"/>
            <w:tcBorders>
              <w:top w:val="nil"/>
              <w:left w:val="nil"/>
              <w:bottom w:val="nil"/>
              <w:right w:val="nil"/>
            </w:tcBorders>
            <w:shd w:val="clear" w:color="auto" w:fill="215868" w:themeFill="accent5" w:themeFillShade="80"/>
            <w:vAlign w:val="center"/>
          </w:tcPr>
          <w:p w14:paraId="1DA25F88"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4"/>
              </w:rPr>
            </w:pPr>
            <w:r w:rsidRPr="00EE335B">
              <w:rPr>
                <w:rFonts w:ascii="Times New Roman" w:hAnsi="Times New Roman" w:cs="Times New Roman"/>
                <w:color w:val="FFFFFF" w:themeColor="background1"/>
                <w:sz w:val="14"/>
              </w:rPr>
              <w:t>24.45</w:t>
            </w:r>
          </w:p>
        </w:tc>
        <w:tc>
          <w:tcPr>
            <w:tcW w:w="1349" w:type="dxa"/>
            <w:tcBorders>
              <w:top w:val="nil"/>
              <w:left w:val="nil"/>
              <w:bottom w:val="nil"/>
              <w:right w:val="nil"/>
            </w:tcBorders>
            <w:shd w:val="clear" w:color="auto" w:fill="215868" w:themeFill="accent5" w:themeFillShade="80"/>
            <w:vAlign w:val="center"/>
          </w:tcPr>
          <w:p w14:paraId="7937AA29"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4"/>
              </w:rPr>
            </w:pPr>
            <w:r w:rsidRPr="00EE335B">
              <w:rPr>
                <w:rFonts w:ascii="Times New Roman" w:hAnsi="Times New Roman" w:cs="Times New Roman"/>
                <w:color w:val="FFFFFF" w:themeColor="background1"/>
                <w:sz w:val="14"/>
              </w:rPr>
              <w:t>24.43</w:t>
            </w:r>
          </w:p>
        </w:tc>
      </w:tr>
    </w:tbl>
    <w:p w14:paraId="645794CA" w14:textId="77777777" w:rsidR="003F6D20" w:rsidRPr="00EE335B" w:rsidRDefault="003F6D20" w:rsidP="003F6D20">
      <w:pPr>
        <w:rPr>
          <w:rFonts w:cs="Times New Roman"/>
          <w:sz w:val="20"/>
        </w:rPr>
      </w:pPr>
      <w:r w:rsidRPr="00EE335B">
        <w:rPr>
          <w:rFonts w:cs="Times New Roman"/>
          <w:i/>
          <w:sz w:val="14"/>
        </w:rPr>
        <w:t>Source: Management Information System (MIS); Student age group was based on student age on October 15 of the reported academic year</w:t>
      </w:r>
    </w:p>
    <w:p w14:paraId="3FED5606" w14:textId="77777777" w:rsidR="003F6D20" w:rsidRPr="00EE335B" w:rsidRDefault="003F6D20" w:rsidP="003D4C4D">
      <w:pPr>
        <w:pStyle w:val="Heading4"/>
      </w:pPr>
      <w:r w:rsidRPr="00EE335B">
        <w:lastRenderedPageBreak/>
        <w:t>Ethnicity/Race</w:t>
      </w:r>
    </w:p>
    <w:p w14:paraId="0F09EED0" w14:textId="77777777" w:rsidR="003F6D20" w:rsidRDefault="003F6D20" w:rsidP="00B71792">
      <w:pPr>
        <w:pStyle w:val="Normalwithspacebetween"/>
      </w:pPr>
      <w:r w:rsidRPr="00EE335B">
        <w:t>The student ethnicity/race data reveal that Santa Monica College serves an ethnically and racially diverse student population. In 2014-2015, the largest proportion of credit students identified as “Hispanic”, followed by “White” and “Asian/Pacific Islander”.</w:t>
      </w:r>
    </w:p>
    <w:p w14:paraId="0B1B51BF" w14:textId="505C0E1D" w:rsidR="003F6D20" w:rsidRPr="00EE335B" w:rsidRDefault="003F6D20" w:rsidP="00B71792">
      <w:pPr>
        <w:pStyle w:val="Normalwithspacebetween"/>
      </w:pPr>
      <w:r w:rsidRPr="00EE335B">
        <w:t>Over the last six academic years, the proportion of the credit student population who identified as “Hispanic” steadily increased by 9.9</w:t>
      </w:r>
      <w:r w:rsidR="00B5133B">
        <w:t xml:space="preserve"> percent</w:t>
      </w:r>
      <w:r w:rsidRPr="00EE335B">
        <w:t xml:space="preserve"> from 26.8</w:t>
      </w:r>
      <w:r w:rsidR="00B5133B">
        <w:t xml:space="preserve"> percent</w:t>
      </w:r>
      <w:r w:rsidRPr="00EE335B">
        <w:t xml:space="preserve"> in 2009-2010 to 36.7</w:t>
      </w:r>
      <w:r w:rsidR="00B5133B">
        <w:t xml:space="preserve"> percent</w:t>
      </w:r>
      <w:r w:rsidRPr="00EE335B">
        <w:t xml:space="preserve"> in 2014-2015. During the same time period, the percentage of the student population who identified as being Asian/Pacific Islander, Black, and White decreased by 4.2</w:t>
      </w:r>
      <w:r w:rsidR="00B5133B">
        <w:t xml:space="preserve"> percent</w:t>
      </w:r>
      <w:r w:rsidRPr="00EE335B">
        <w:t>, 1.0</w:t>
      </w:r>
      <w:r w:rsidR="00B5133B">
        <w:t xml:space="preserve"> percent</w:t>
      </w:r>
      <w:r w:rsidRPr="00EE335B">
        <w:t>, and 5.1</w:t>
      </w:r>
      <w:r w:rsidR="00B5133B">
        <w:t xml:space="preserve"> percent</w:t>
      </w:r>
      <w:r w:rsidRPr="00EE335B">
        <w:t xml:space="preserve">, respectively. </w:t>
      </w:r>
    </w:p>
    <w:p w14:paraId="6C6E8089" w14:textId="77777777" w:rsidR="003F6D20" w:rsidRPr="00EE335B" w:rsidRDefault="003F6D20" w:rsidP="003F6D20">
      <w:pPr>
        <w:jc w:val="center"/>
        <w:rPr>
          <w:rFonts w:cs="Times New Roman"/>
          <w:sz w:val="20"/>
        </w:rPr>
      </w:pPr>
      <w:r w:rsidRPr="00EE335B">
        <w:rPr>
          <w:rFonts w:cs="Times New Roman"/>
          <w:noProof/>
          <w:sz w:val="20"/>
        </w:rPr>
        <w:drawing>
          <wp:inline distT="0" distB="0" distL="0" distR="0" wp14:anchorId="7F89C6EA" wp14:editId="75FC74B9">
            <wp:extent cx="5210175" cy="273367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Style w:val="GridTable5Dark-Accent51"/>
        <w:tblW w:w="0" w:type="auto"/>
        <w:jc w:val="center"/>
        <w:tblLook w:val="04A0" w:firstRow="1" w:lastRow="0" w:firstColumn="1" w:lastColumn="0" w:noHBand="0" w:noVBand="1"/>
      </w:tblPr>
      <w:tblGrid>
        <w:gridCol w:w="1253"/>
        <w:gridCol w:w="1327"/>
        <w:gridCol w:w="1327"/>
        <w:gridCol w:w="1327"/>
        <w:gridCol w:w="1327"/>
        <w:gridCol w:w="1327"/>
        <w:gridCol w:w="1328"/>
      </w:tblGrid>
      <w:tr w:rsidR="003F6D20" w:rsidRPr="00EE335B" w14:paraId="53E582EE" w14:textId="77777777" w:rsidTr="00EE335B">
        <w:trPr>
          <w:cnfStyle w:val="100000000000" w:firstRow="1" w:lastRow="0" w:firstColumn="0" w:lastColumn="0" w:oddVBand="0" w:evenVBand="0" w:oddHBand="0"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261" w:type="dxa"/>
            <w:tcBorders>
              <w:top w:val="nil"/>
              <w:left w:val="nil"/>
              <w:bottom w:val="nil"/>
            </w:tcBorders>
          </w:tcPr>
          <w:p w14:paraId="6645EBDF" w14:textId="77777777" w:rsidR="003F6D20" w:rsidRPr="00EE335B" w:rsidRDefault="003F6D20" w:rsidP="00EE335B">
            <w:pPr>
              <w:rPr>
                <w:rFonts w:cs="Times New Roman"/>
                <w:b w:val="0"/>
                <w:sz w:val="16"/>
              </w:rPr>
            </w:pPr>
          </w:p>
        </w:tc>
        <w:tc>
          <w:tcPr>
            <w:tcW w:w="1348" w:type="dxa"/>
            <w:tcBorders>
              <w:top w:val="nil"/>
              <w:bottom w:val="nil"/>
            </w:tcBorders>
          </w:tcPr>
          <w:p w14:paraId="2376BDA1"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2009-2010</w:t>
            </w:r>
          </w:p>
          <w:p w14:paraId="1D558762"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49,704)</w:t>
            </w:r>
          </w:p>
        </w:tc>
        <w:tc>
          <w:tcPr>
            <w:tcW w:w="1348" w:type="dxa"/>
            <w:tcBorders>
              <w:top w:val="nil"/>
              <w:bottom w:val="nil"/>
            </w:tcBorders>
          </w:tcPr>
          <w:p w14:paraId="75376F6C"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2010-2011</w:t>
            </w:r>
          </w:p>
          <w:p w14:paraId="6ABA849B"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46,591)</w:t>
            </w:r>
          </w:p>
        </w:tc>
        <w:tc>
          <w:tcPr>
            <w:tcW w:w="1348" w:type="dxa"/>
            <w:tcBorders>
              <w:top w:val="nil"/>
              <w:bottom w:val="nil"/>
            </w:tcBorders>
          </w:tcPr>
          <w:p w14:paraId="107E309D"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2011-2012</w:t>
            </w:r>
          </w:p>
          <w:p w14:paraId="541BA5A4"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42,775)</w:t>
            </w:r>
          </w:p>
        </w:tc>
        <w:tc>
          <w:tcPr>
            <w:tcW w:w="1348" w:type="dxa"/>
            <w:tcBorders>
              <w:top w:val="nil"/>
              <w:bottom w:val="nil"/>
            </w:tcBorders>
          </w:tcPr>
          <w:p w14:paraId="43AE5DAB"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2012-2013</w:t>
            </w:r>
          </w:p>
          <w:p w14:paraId="134C41D7"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42,037)</w:t>
            </w:r>
          </w:p>
        </w:tc>
        <w:tc>
          <w:tcPr>
            <w:tcW w:w="1348" w:type="dxa"/>
            <w:tcBorders>
              <w:top w:val="nil"/>
              <w:bottom w:val="nil"/>
            </w:tcBorders>
          </w:tcPr>
          <w:p w14:paraId="6F868AFA"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2013-2014</w:t>
            </w:r>
          </w:p>
          <w:p w14:paraId="178E89AA"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41,553)</w:t>
            </w:r>
          </w:p>
        </w:tc>
        <w:tc>
          <w:tcPr>
            <w:tcW w:w="1349" w:type="dxa"/>
            <w:tcBorders>
              <w:top w:val="nil"/>
              <w:bottom w:val="nil"/>
              <w:right w:val="nil"/>
            </w:tcBorders>
          </w:tcPr>
          <w:p w14:paraId="52440783"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2014-2015</w:t>
            </w:r>
          </w:p>
          <w:p w14:paraId="16E114BE"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42,756)</w:t>
            </w:r>
          </w:p>
        </w:tc>
      </w:tr>
      <w:tr w:rsidR="003F6D20" w:rsidRPr="00EE335B" w14:paraId="47437E20" w14:textId="77777777" w:rsidTr="00AB59D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61" w:type="dxa"/>
            <w:tcBorders>
              <w:top w:val="nil"/>
            </w:tcBorders>
            <w:shd w:val="clear" w:color="auto" w:fill="FFFFFF" w:themeFill="background1"/>
            <w:vAlign w:val="center"/>
          </w:tcPr>
          <w:p w14:paraId="26DCD05C" w14:textId="77777777" w:rsidR="003F6D20" w:rsidRPr="00EE335B" w:rsidRDefault="003F6D20" w:rsidP="007C3E4E">
            <w:pPr>
              <w:pStyle w:val="NoSpacing"/>
              <w:contextualSpacing/>
              <w:rPr>
                <w:rFonts w:ascii="Times New Roman" w:hAnsi="Times New Roman" w:cs="Times New Roman"/>
                <w:b w:val="0"/>
                <w:color w:val="auto"/>
                <w:sz w:val="14"/>
              </w:rPr>
            </w:pPr>
            <w:r w:rsidRPr="00EE335B">
              <w:rPr>
                <w:rFonts w:ascii="Times New Roman" w:hAnsi="Times New Roman" w:cs="Times New Roman"/>
                <w:b w:val="0"/>
                <w:color w:val="auto"/>
                <w:sz w:val="14"/>
              </w:rPr>
              <w:t>Asian/Pacific Islander</w:t>
            </w:r>
          </w:p>
        </w:tc>
        <w:tc>
          <w:tcPr>
            <w:tcW w:w="1348" w:type="dxa"/>
            <w:tcBorders>
              <w:top w:val="nil"/>
            </w:tcBorders>
            <w:shd w:val="clear" w:color="auto" w:fill="FFFFFF" w:themeFill="background1"/>
            <w:vAlign w:val="center"/>
          </w:tcPr>
          <w:p w14:paraId="0032227B" w14:textId="77777777" w:rsidR="003F6D20" w:rsidRPr="00EE335B" w:rsidRDefault="003F6D20" w:rsidP="007C3E4E">
            <w:pPr>
              <w:pStyle w:val="NoSpacing"/>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18.7%</w:t>
            </w:r>
          </w:p>
        </w:tc>
        <w:tc>
          <w:tcPr>
            <w:tcW w:w="1348" w:type="dxa"/>
            <w:tcBorders>
              <w:top w:val="nil"/>
            </w:tcBorders>
            <w:shd w:val="clear" w:color="auto" w:fill="FFFFFF" w:themeFill="background1"/>
            <w:vAlign w:val="center"/>
          </w:tcPr>
          <w:p w14:paraId="1E617FFC" w14:textId="77777777" w:rsidR="003F6D20" w:rsidRPr="00EE335B" w:rsidRDefault="003F6D20" w:rsidP="007C3E4E">
            <w:pPr>
              <w:pStyle w:val="NoSpacing"/>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18.6%</w:t>
            </w:r>
          </w:p>
        </w:tc>
        <w:tc>
          <w:tcPr>
            <w:tcW w:w="1348" w:type="dxa"/>
            <w:tcBorders>
              <w:top w:val="nil"/>
            </w:tcBorders>
            <w:shd w:val="clear" w:color="auto" w:fill="FFFFFF" w:themeFill="background1"/>
            <w:vAlign w:val="center"/>
          </w:tcPr>
          <w:p w14:paraId="1D779BFA" w14:textId="77777777" w:rsidR="003F6D20" w:rsidRPr="00EE335B" w:rsidRDefault="003F6D20" w:rsidP="007C3E4E">
            <w:pPr>
              <w:pStyle w:val="NoSpacing"/>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17.5%</w:t>
            </w:r>
          </w:p>
        </w:tc>
        <w:tc>
          <w:tcPr>
            <w:tcW w:w="1348" w:type="dxa"/>
            <w:tcBorders>
              <w:top w:val="nil"/>
            </w:tcBorders>
            <w:shd w:val="clear" w:color="auto" w:fill="FFFFFF" w:themeFill="background1"/>
            <w:vAlign w:val="center"/>
          </w:tcPr>
          <w:p w14:paraId="10A774E1" w14:textId="77777777" w:rsidR="003F6D20" w:rsidRPr="00EE335B" w:rsidRDefault="003F6D20" w:rsidP="007C3E4E">
            <w:pPr>
              <w:pStyle w:val="NoSpacing"/>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15.1%</w:t>
            </w:r>
          </w:p>
        </w:tc>
        <w:tc>
          <w:tcPr>
            <w:tcW w:w="1348" w:type="dxa"/>
            <w:tcBorders>
              <w:top w:val="nil"/>
            </w:tcBorders>
            <w:shd w:val="clear" w:color="auto" w:fill="FFFFFF" w:themeFill="background1"/>
            <w:vAlign w:val="center"/>
          </w:tcPr>
          <w:p w14:paraId="033B91EA" w14:textId="77777777" w:rsidR="003F6D20" w:rsidRPr="00EE335B" w:rsidRDefault="003F6D20" w:rsidP="007C3E4E">
            <w:pPr>
              <w:pStyle w:val="NoSpacing"/>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14.4%</w:t>
            </w:r>
          </w:p>
        </w:tc>
        <w:tc>
          <w:tcPr>
            <w:tcW w:w="1349" w:type="dxa"/>
            <w:tcBorders>
              <w:top w:val="nil"/>
            </w:tcBorders>
            <w:shd w:val="clear" w:color="auto" w:fill="FFFFFF" w:themeFill="background1"/>
            <w:vAlign w:val="center"/>
          </w:tcPr>
          <w:p w14:paraId="1F597E00" w14:textId="77777777" w:rsidR="003F6D20" w:rsidRPr="00EE335B" w:rsidRDefault="003F6D20" w:rsidP="007C3E4E">
            <w:pPr>
              <w:pStyle w:val="NoSpacing"/>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14.6%</w:t>
            </w:r>
          </w:p>
        </w:tc>
      </w:tr>
      <w:tr w:rsidR="003F6D20" w:rsidRPr="00EE335B" w14:paraId="0C94472A" w14:textId="77777777" w:rsidTr="00AB59D5">
        <w:trPr>
          <w:trHeight w:val="288"/>
          <w:jc w:val="center"/>
        </w:trPr>
        <w:tc>
          <w:tcPr>
            <w:cnfStyle w:val="001000000000" w:firstRow="0" w:lastRow="0" w:firstColumn="1" w:lastColumn="0" w:oddVBand="0" w:evenVBand="0" w:oddHBand="0" w:evenHBand="0" w:firstRowFirstColumn="0" w:firstRowLastColumn="0" w:lastRowFirstColumn="0" w:lastRowLastColumn="0"/>
            <w:tcW w:w="1261" w:type="dxa"/>
            <w:shd w:val="clear" w:color="auto" w:fill="DAEEF3" w:themeFill="accent5" w:themeFillTint="33"/>
            <w:vAlign w:val="center"/>
          </w:tcPr>
          <w:p w14:paraId="034A5DFB" w14:textId="77777777" w:rsidR="003F6D20" w:rsidRPr="00EE335B" w:rsidRDefault="003F6D20" w:rsidP="007C3E4E">
            <w:pPr>
              <w:pStyle w:val="NoSpacing"/>
              <w:contextualSpacing/>
              <w:rPr>
                <w:rFonts w:ascii="Times New Roman" w:hAnsi="Times New Roman" w:cs="Times New Roman"/>
                <w:b w:val="0"/>
                <w:color w:val="auto"/>
                <w:sz w:val="14"/>
              </w:rPr>
            </w:pPr>
            <w:r w:rsidRPr="00EE335B">
              <w:rPr>
                <w:rFonts w:ascii="Times New Roman" w:hAnsi="Times New Roman" w:cs="Times New Roman"/>
                <w:b w:val="0"/>
                <w:color w:val="auto"/>
                <w:sz w:val="14"/>
              </w:rPr>
              <w:t>Black</w:t>
            </w:r>
          </w:p>
        </w:tc>
        <w:tc>
          <w:tcPr>
            <w:tcW w:w="1348" w:type="dxa"/>
            <w:vAlign w:val="center"/>
          </w:tcPr>
          <w:p w14:paraId="57041D2E" w14:textId="77777777" w:rsidR="003F6D20" w:rsidRPr="00EE335B" w:rsidRDefault="003F6D20" w:rsidP="007C3E4E">
            <w:pPr>
              <w:pStyle w:val="NoSpacing"/>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10.6%</w:t>
            </w:r>
          </w:p>
        </w:tc>
        <w:tc>
          <w:tcPr>
            <w:tcW w:w="1348" w:type="dxa"/>
            <w:vAlign w:val="center"/>
          </w:tcPr>
          <w:p w14:paraId="53E053FD" w14:textId="77777777" w:rsidR="003F6D20" w:rsidRPr="00EE335B" w:rsidRDefault="003F6D20" w:rsidP="007C3E4E">
            <w:pPr>
              <w:pStyle w:val="NoSpacing"/>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w:t>
            </w:r>
          </w:p>
        </w:tc>
        <w:tc>
          <w:tcPr>
            <w:tcW w:w="1348" w:type="dxa"/>
            <w:vAlign w:val="center"/>
          </w:tcPr>
          <w:p w14:paraId="6002FF6E" w14:textId="77777777" w:rsidR="003F6D20" w:rsidRPr="00EE335B" w:rsidRDefault="003F6D20" w:rsidP="007C3E4E">
            <w:pPr>
              <w:pStyle w:val="NoSpacing"/>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w:t>
            </w:r>
          </w:p>
        </w:tc>
        <w:tc>
          <w:tcPr>
            <w:tcW w:w="1348" w:type="dxa"/>
            <w:vAlign w:val="center"/>
          </w:tcPr>
          <w:p w14:paraId="6E0DF5BA" w14:textId="77777777" w:rsidR="003F6D20" w:rsidRPr="00EE335B" w:rsidRDefault="003F6D20" w:rsidP="007C3E4E">
            <w:pPr>
              <w:pStyle w:val="NoSpacing"/>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9.9%</w:t>
            </w:r>
          </w:p>
        </w:tc>
        <w:tc>
          <w:tcPr>
            <w:tcW w:w="1348" w:type="dxa"/>
            <w:vAlign w:val="center"/>
          </w:tcPr>
          <w:p w14:paraId="2898C773" w14:textId="77777777" w:rsidR="003F6D20" w:rsidRPr="00EE335B" w:rsidRDefault="003F6D20" w:rsidP="007C3E4E">
            <w:pPr>
              <w:pStyle w:val="NoSpacing"/>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9.6%</w:t>
            </w:r>
          </w:p>
        </w:tc>
        <w:tc>
          <w:tcPr>
            <w:tcW w:w="1349" w:type="dxa"/>
            <w:vAlign w:val="center"/>
          </w:tcPr>
          <w:p w14:paraId="08284964" w14:textId="77777777" w:rsidR="003F6D20" w:rsidRPr="00EE335B" w:rsidRDefault="003F6D20" w:rsidP="007C3E4E">
            <w:pPr>
              <w:pStyle w:val="NoSpacing"/>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9.7%</w:t>
            </w:r>
          </w:p>
        </w:tc>
      </w:tr>
      <w:tr w:rsidR="003F6D20" w:rsidRPr="00EE335B" w14:paraId="0253B673" w14:textId="77777777" w:rsidTr="00AB59D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61" w:type="dxa"/>
            <w:shd w:val="clear" w:color="auto" w:fill="FFFFFF" w:themeFill="background1"/>
            <w:vAlign w:val="center"/>
          </w:tcPr>
          <w:p w14:paraId="2F7AD4D3" w14:textId="77777777" w:rsidR="003F6D20" w:rsidRPr="00EE335B" w:rsidRDefault="003F6D20" w:rsidP="007C3E4E">
            <w:pPr>
              <w:pStyle w:val="NoSpacing"/>
              <w:contextualSpacing/>
              <w:rPr>
                <w:rFonts w:ascii="Times New Roman" w:hAnsi="Times New Roman" w:cs="Times New Roman"/>
                <w:b w:val="0"/>
                <w:color w:val="auto"/>
                <w:sz w:val="14"/>
              </w:rPr>
            </w:pPr>
            <w:r w:rsidRPr="00EE335B">
              <w:rPr>
                <w:rFonts w:ascii="Times New Roman" w:hAnsi="Times New Roman" w:cs="Times New Roman"/>
                <w:b w:val="0"/>
                <w:color w:val="auto"/>
                <w:sz w:val="14"/>
              </w:rPr>
              <w:t>Hispanic</w:t>
            </w:r>
          </w:p>
        </w:tc>
        <w:tc>
          <w:tcPr>
            <w:tcW w:w="1348" w:type="dxa"/>
            <w:shd w:val="clear" w:color="auto" w:fill="FFFFFF" w:themeFill="background1"/>
            <w:vAlign w:val="center"/>
          </w:tcPr>
          <w:p w14:paraId="16436FD5" w14:textId="77777777" w:rsidR="003F6D20" w:rsidRPr="00EE335B" w:rsidRDefault="003F6D20" w:rsidP="007C3E4E">
            <w:pPr>
              <w:pStyle w:val="NoSpacing"/>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26.8%</w:t>
            </w:r>
          </w:p>
        </w:tc>
        <w:tc>
          <w:tcPr>
            <w:tcW w:w="1348" w:type="dxa"/>
            <w:shd w:val="clear" w:color="auto" w:fill="FFFFFF" w:themeFill="background1"/>
            <w:vAlign w:val="center"/>
          </w:tcPr>
          <w:p w14:paraId="3425F54D" w14:textId="77777777" w:rsidR="003F6D20" w:rsidRPr="00EE335B" w:rsidRDefault="003F6D20" w:rsidP="007C3E4E">
            <w:pPr>
              <w:pStyle w:val="NoSpacing"/>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30.3%</w:t>
            </w:r>
          </w:p>
        </w:tc>
        <w:tc>
          <w:tcPr>
            <w:tcW w:w="1348" w:type="dxa"/>
            <w:shd w:val="clear" w:color="auto" w:fill="FFFFFF" w:themeFill="background1"/>
            <w:vAlign w:val="center"/>
          </w:tcPr>
          <w:p w14:paraId="2F406A48" w14:textId="77777777" w:rsidR="003F6D20" w:rsidRPr="00EE335B" w:rsidRDefault="003F6D20" w:rsidP="007C3E4E">
            <w:pPr>
              <w:pStyle w:val="NoSpacing"/>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32.5%</w:t>
            </w:r>
          </w:p>
        </w:tc>
        <w:tc>
          <w:tcPr>
            <w:tcW w:w="1348" w:type="dxa"/>
            <w:shd w:val="clear" w:color="auto" w:fill="FFFFFF" w:themeFill="background1"/>
            <w:vAlign w:val="center"/>
          </w:tcPr>
          <w:p w14:paraId="553A27CB" w14:textId="77777777" w:rsidR="003F6D20" w:rsidRPr="00EE335B" w:rsidRDefault="003F6D20" w:rsidP="007C3E4E">
            <w:pPr>
              <w:pStyle w:val="NoSpacing"/>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34.4%</w:t>
            </w:r>
          </w:p>
        </w:tc>
        <w:tc>
          <w:tcPr>
            <w:tcW w:w="1348" w:type="dxa"/>
            <w:shd w:val="clear" w:color="auto" w:fill="FFFFFF" w:themeFill="background1"/>
            <w:vAlign w:val="center"/>
          </w:tcPr>
          <w:p w14:paraId="33157635" w14:textId="77777777" w:rsidR="003F6D20" w:rsidRPr="00EE335B" w:rsidRDefault="003F6D20" w:rsidP="007C3E4E">
            <w:pPr>
              <w:pStyle w:val="NoSpacing"/>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35.7%</w:t>
            </w:r>
          </w:p>
        </w:tc>
        <w:tc>
          <w:tcPr>
            <w:tcW w:w="1349" w:type="dxa"/>
            <w:shd w:val="clear" w:color="auto" w:fill="FFFFFF" w:themeFill="background1"/>
            <w:vAlign w:val="center"/>
          </w:tcPr>
          <w:p w14:paraId="59649277" w14:textId="77777777" w:rsidR="003F6D20" w:rsidRPr="00EE335B" w:rsidRDefault="003F6D20" w:rsidP="007C3E4E">
            <w:pPr>
              <w:pStyle w:val="NoSpacing"/>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36.7%</w:t>
            </w:r>
          </w:p>
        </w:tc>
      </w:tr>
      <w:tr w:rsidR="003F6D20" w:rsidRPr="00EE335B" w14:paraId="0C0A2A1A" w14:textId="77777777" w:rsidTr="00AB59D5">
        <w:trPr>
          <w:trHeight w:val="288"/>
          <w:jc w:val="center"/>
        </w:trPr>
        <w:tc>
          <w:tcPr>
            <w:cnfStyle w:val="001000000000" w:firstRow="0" w:lastRow="0" w:firstColumn="1" w:lastColumn="0" w:oddVBand="0" w:evenVBand="0" w:oddHBand="0" w:evenHBand="0" w:firstRowFirstColumn="0" w:firstRowLastColumn="0" w:lastRowFirstColumn="0" w:lastRowLastColumn="0"/>
            <w:tcW w:w="1261" w:type="dxa"/>
            <w:shd w:val="clear" w:color="auto" w:fill="DAEEF3" w:themeFill="accent5" w:themeFillTint="33"/>
            <w:vAlign w:val="center"/>
          </w:tcPr>
          <w:p w14:paraId="608B1DBC" w14:textId="77777777" w:rsidR="003F6D20" w:rsidRPr="00EE335B" w:rsidRDefault="003F6D20" w:rsidP="007C3E4E">
            <w:pPr>
              <w:pStyle w:val="NoSpacing"/>
              <w:contextualSpacing/>
              <w:rPr>
                <w:rFonts w:ascii="Times New Roman" w:hAnsi="Times New Roman" w:cs="Times New Roman"/>
                <w:b w:val="0"/>
                <w:color w:val="auto"/>
                <w:sz w:val="14"/>
              </w:rPr>
            </w:pPr>
            <w:r w:rsidRPr="00EE335B">
              <w:rPr>
                <w:rFonts w:ascii="Times New Roman" w:hAnsi="Times New Roman" w:cs="Times New Roman"/>
                <w:b w:val="0"/>
                <w:color w:val="auto"/>
                <w:sz w:val="14"/>
              </w:rPr>
              <w:t>Native American</w:t>
            </w:r>
          </w:p>
        </w:tc>
        <w:tc>
          <w:tcPr>
            <w:tcW w:w="1348" w:type="dxa"/>
            <w:vAlign w:val="center"/>
          </w:tcPr>
          <w:p w14:paraId="5400ABD6" w14:textId="77777777" w:rsidR="003F6D20" w:rsidRPr="00EE335B" w:rsidRDefault="003F6D20" w:rsidP="007C3E4E">
            <w:pPr>
              <w:pStyle w:val="NoSpacing"/>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0.4%</w:t>
            </w:r>
          </w:p>
        </w:tc>
        <w:tc>
          <w:tcPr>
            <w:tcW w:w="1348" w:type="dxa"/>
            <w:vAlign w:val="center"/>
          </w:tcPr>
          <w:p w14:paraId="38CD08DC" w14:textId="77777777" w:rsidR="003F6D20" w:rsidRPr="00EE335B" w:rsidRDefault="003F6D20" w:rsidP="007C3E4E">
            <w:pPr>
              <w:pStyle w:val="NoSpacing"/>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0.3%</w:t>
            </w:r>
          </w:p>
        </w:tc>
        <w:tc>
          <w:tcPr>
            <w:tcW w:w="1348" w:type="dxa"/>
            <w:vAlign w:val="center"/>
          </w:tcPr>
          <w:p w14:paraId="2CD9AAC7" w14:textId="77777777" w:rsidR="003F6D20" w:rsidRPr="00EE335B" w:rsidRDefault="003F6D20" w:rsidP="007C3E4E">
            <w:pPr>
              <w:pStyle w:val="NoSpacing"/>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0.2%</w:t>
            </w:r>
          </w:p>
        </w:tc>
        <w:tc>
          <w:tcPr>
            <w:tcW w:w="1348" w:type="dxa"/>
            <w:vAlign w:val="center"/>
          </w:tcPr>
          <w:p w14:paraId="35795961" w14:textId="77777777" w:rsidR="003F6D20" w:rsidRPr="00EE335B" w:rsidRDefault="003F6D20" w:rsidP="007C3E4E">
            <w:pPr>
              <w:pStyle w:val="NoSpacing"/>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0.2%</w:t>
            </w:r>
          </w:p>
        </w:tc>
        <w:tc>
          <w:tcPr>
            <w:tcW w:w="1348" w:type="dxa"/>
            <w:vAlign w:val="center"/>
          </w:tcPr>
          <w:p w14:paraId="0B66A3DA" w14:textId="77777777" w:rsidR="003F6D20" w:rsidRPr="00EE335B" w:rsidRDefault="003F6D20" w:rsidP="007C3E4E">
            <w:pPr>
              <w:pStyle w:val="NoSpacing"/>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0.2%</w:t>
            </w:r>
          </w:p>
        </w:tc>
        <w:tc>
          <w:tcPr>
            <w:tcW w:w="1349" w:type="dxa"/>
            <w:vAlign w:val="center"/>
          </w:tcPr>
          <w:p w14:paraId="7BA88BDA" w14:textId="77777777" w:rsidR="003F6D20" w:rsidRPr="00EE335B" w:rsidRDefault="003F6D20" w:rsidP="007C3E4E">
            <w:pPr>
              <w:pStyle w:val="NoSpacing"/>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0.2%</w:t>
            </w:r>
          </w:p>
        </w:tc>
      </w:tr>
      <w:tr w:rsidR="003F6D20" w:rsidRPr="00EE335B" w14:paraId="26141A1F" w14:textId="77777777" w:rsidTr="00AB59D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61" w:type="dxa"/>
            <w:shd w:val="clear" w:color="auto" w:fill="FFFFFF" w:themeFill="background1"/>
            <w:vAlign w:val="center"/>
          </w:tcPr>
          <w:p w14:paraId="7CFDDD51" w14:textId="77777777" w:rsidR="003F6D20" w:rsidRPr="00EE335B" w:rsidRDefault="003F6D20" w:rsidP="007C3E4E">
            <w:pPr>
              <w:pStyle w:val="NoSpacing"/>
              <w:contextualSpacing/>
              <w:rPr>
                <w:rFonts w:ascii="Times New Roman" w:hAnsi="Times New Roman" w:cs="Times New Roman"/>
                <w:b w:val="0"/>
                <w:color w:val="auto"/>
                <w:sz w:val="14"/>
              </w:rPr>
            </w:pPr>
            <w:r w:rsidRPr="00EE335B">
              <w:rPr>
                <w:rFonts w:ascii="Times New Roman" w:hAnsi="Times New Roman" w:cs="Times New Roman"/>
                <w:b w:val="0"/>
                <w:color w:val="auto"/>
                <w:sz w:val="14"/>
              </w:rPr>
              <w:t>Multiple Races</w:t>
            </w:r>
          </w:p>
        </w:tc>
        <w:tc>
          <w:tcPr>
            <w:tcW w:w="1348" w:type="dxa"/>
            <w:shd w:val="clear" w:color="auto" w:fill="FFFFFF" w:themeFill="background1"/>
            <w:vAlign w:val="center"/>
          </w:tcPr>
          <w:p w14:paraId="32205D45" w14:textId="77777777" w:rsidR="003F6D20" w:rsidRPr="00EE335B" w:rsidRDefault="003F6D20" w:rsidP="007C3E4E">
            <w:pPr>
              <w:pStyle w:val="NoSpacing"/>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1.5%</w:t>
            </w:r>
          </w:p>
        </w:tc>
        <w:tc>
          <w:tcPr>
            <w:tcW w:w="1348" w:type="dxa"/>
            <w:shd w:val="clear" w:color="auto" w:fill="FFFFFF" w:themeFill="background1"/>
            <w:vAlign w:val="center"/>
          </w:tcPr>
          <w:p w14:paraId="1EA6E8D3" w14:textId="77777777" w:rsidR="003F6D20" w:rsidRPr="00EE335B" w:rsidRDefault="003F6D20" w:rsidP="007C3E4E">
            <w:pPr>
              <w:pStyle w:val="NoSpacing"/>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3.2%</w:t>
            </w:r>
          </w:p>
        </w:tc>
        <w:tc>
          <w:tcPr>
            <w:tcW w:w="1348" w:type="dxa"/>
            <w:shd w:val="clear" w:color="auto" w:fill="FFFFFF" w:themeFill="background1"/>
            <w:vAlign w:val="center"/>
          </w:tcPr>
          <w:p w14:paraId="043EA872" w14:textId="77777777" w:rsidR="003F6D20" w:rsidRPr="00EE335B" w:rsidRDefault="003F6D20" w:rsidP="007C3E4E">
            <w:pPr>
              <w:pStyle w:val="NoSpacing"/>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3.6%</w:t>
            </w:r>
          </w:p>
        </w:tc>
        <w:tc>
          <w:tcPr>
            <w:tcW w:w="1348" w:type="dxa"/>
            <w:shd w:val="clear" w:color="auto" w:fill="FFFFFF" w:themeFill="background1"/>
            <w:vAlign w:val="center"/>
          </w:tcPr>
          <w:p w14:paraId="72D0BCF5" w14:textId="77777777" w:rsidR="003F6D20" w:rsidRPr="00EE335B" w:rsidRDefault="003F6D20" w:rsidP="007C3E4E">
            <w:pPr>
              <w:pStyle w:val="NoSpacing"/>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3.8%</w:t>
            </w:r>
          </w:p>
        </w:tc>
        <w:tc>
          <w:tcPr>
            <w:tcW w:w="1348" w:type="dxa"/>
            <w:shd w:val="clear" w:color="auto" w:fill="FFFFFF" w:themeFill="background1"/>
            <w:vAlign w:val="center"/>
          </w:tcPr>
          <w:p w14:paraId="4CEDEEE6" w14:textId="77777777" w:rsidR="003F6D20" w:rsidRPr="00EE335B" w:rsidRDefault="003F6D20" w:rsidP="007C3E4E">
            <w:pPr>
              <w:pStyle w:val="NoSpacing"/>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4.0%</w:t>
            </w:r>
          </w:p>
        </w:tc>
        <w:tc>
          <w:tcPr>
            <w:tcW w:w="1349" w:type="dxa"/>
            <w:shd w:val="clear" w:color="auto" w:fill="FFFFFF" w:themeFill="background1"/>
            <w:vAlign w:val="center"/>
          </w:tcPr>
          <w:p w14:paraId="5EF2DCF9" w14:textId="77777777" w:rsidR="003F6D20" w:rsidRPr="00EE335B" w:rsidRDefault="003F6D20" w:rsidP="007C3E4E">
            <w:pPr>
              <w:pStyle w:val="NoSpacing"/>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4.1%</w:t>
            </w:r>
          </w:p>
        </w:tc>
      </w:tr>
      <w:tr w:rsidR="003F6D20" w:rsidRPr="00EE335B" w14:paraId="226AB1EA" w14:textId="77777777" w:rsidTr="00AB59D5">
        <w:trPr>
          <w:trHeight w:val="288"/>
          <w:jc w:val="center"/>
        </w:trPr>
        <w:tc>
          <w:tcPr>
            <w:cnfStyle w:val="001000000000" w:firstRow="0" w:lastRow="0" w:firstColumn="1" w:lastColumn="0" w:oddVBand="0" w:evenVBand="0" w:oddHBand="0" w:evenHBand="0" w:firstRowFirstColumn="0" w:firstRowLastColumn="0" w:lastRowFirstColumn="0" w:lastRowLastColumn="0"/>
            <w:tcW w:w="1261" w:type="dxa"/>
            <w:shd w:val="clear" w:color="auto" w:fill="DAEEF3" w:themeFill="accent5" w:themeFillTint="33"/>
            <w:vAlign w:val="center"/>
          </w:tcPr>
          <w:p w14:paraId="6C3ACCAF" w14:textId="77777777" w:rsidR="003F6D20" w:rsidRPr="00EE335B" w:rsidRDefault="003F6D20" w:rsidP="007C3E4E">
            <w:pPr>
              <w:pStyle w:val="NoSpacing"/>
              <w:contextualSpacing/>
              <w:rPr>
                <w:rFonts w:ascii="Times New Roman" w:hAnsi="Times New Roman" w:cs="Times New Roman"/>
                <w:b w:val="0"/>
                <w:color w:val="auto"/>
                <w:sz w:val="14"/>
              </w:rPr>
            </w:pPr>
            <w:r w:rsidRPr="00EE335B">
              <w:rPr>
                <w:rFonts w:ascii="Times New Roman" w:hAnsi="Times New Roman" w:cs="Times New Roman"/>
                <w:b w:val="0"/>
                <w:color w:val="auto"/>
                <w:sz w:val="14"/>
              </w:rPr>
              <w:t>White</w:t>
            </w:r>
          </w:p>
        </w:tc>
        <w:tc>
          <w:tcPr>
            <w:tcW w:w="1348" w:type="dxa"/>
            <w:vAlign w:val="center"/>
          </w:tcPr>
          <w:p w14:paraId="26CB42F9" w14:textId="77777777" w:rsidR="003F6D20" w:rsidRPr="00EE335B" w:rsidRDefault="003F6D20" w:rsidP="007C3E4E">
            <w:pPr>
              <w:pStyle w:val="NoSpacing"/>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33.5%</w:t>
            </w:r>
          </w:p>
        </w:tc>
        <w:tc>
          <w:tcPr>
            <w:tcW w:w="1348" w:type="dxa"/>
            <w:vAlign w:val="center"/>
          </w:tcPr>
          <w:p w14:paraId="5ED5056D" w14:textId="77777777" w:rsidR="003F6D20" w:rsidRPr="00EE335B" w:rsidRDefault="003F6D20" w:rsidP="007C3E4E">
            <w:pPr>
              <w:pStyle w:val="NoSpacing"/>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33.0%</w:t>
            </w:r>
          </w:p>
        </w:tc>
        <w:tc>
          <w:tcPr>
            <w:tcW w:w="1348" w:type="dxa"/>
            <w:vAlign w:val="center"/>
          </w:tcPr>
          <w:p w14:paraId="2D3DFE91" w14:textId="77777777" w:rsidR="003F6D20" w:rsidRPr="00EE335B" w:rsidRDefault="003F6D20" w:rsidP="007C3E4E">
            <w:pPr>
              <w:pStyle w:val="NoSpacing"/>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31.4%</w:t>
            </w:r>
          </w:p>
        </w:tc>
        <w:tc>
          <w:tcPr>
            <w:tcW w:w="1348" w:type="dxa"/>
            <w:vAlign w:val="center"/>
          </w:tcPr>
          <w:p w14:paraId="3E5BBD98" w14:textId="77777777" w:rsidR="003F6D20" w:rsidRPr="00EE335B" w:rsidRDefault="003F6D20" w:rsidP="007C3E4E">
            <w:pPr>
              <w:pStyle w:val="NoSpacing"/>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28.9%</w:t>
            </w:r>
          </w:p>
        </w:tc>
        <w:tc>
          <w:tcPr>
            <w:tcW w:w="1348" w:type="dxa"/>
            <w:vAlign w:val="center"/>
          </w:tcPr>
          <w:p w14:paraId="60853D8B" w14:textId="77777777" w:rsidR="003F6D20" w:rsidRPr="00EE335B" w:rsidRDefault="003F6D20" w:rsidP="007C3E4E">
            <w:pPr>
              <w:pStyle w:val="NoSpacing"/>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28.4%</w:t>
            </w:r>
          </w:p>
        </w:tc>
        <w:tc>
          <w:tcPr>
            <w:tcW w:w="1349" w:type="dxa"/>
            <w:vAlign w:val="center"/>
          </w:tcPr>
          <w:p w14:paraId="7296E8B7" w14:textId="77777777" w:rsidR="003F6D20" w:rsidRPr="00EE335B" w:rsidRDefault="003F6D20" w:rsidP="007C3E4E">
            <w:pPr>
              <w:pStyle w:val="NoSpacing"/>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28.4%</w:t>
            </w:r>
          </w:p>
        </w:tc>
      </w:tr>
      <w:tr w:rsidR="003F6D20" w:rsidRPr="00EE335B" w14:paraId="45908EFE" w14:textId="77777777" w:rsidTr="00AB59D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61" w:type="dxa"/>
            <w:shd w:val="clear" w:color="auto" w:fill="FFFFFF" w:themeFill="background1"/>
            <w:vAlign w:val="center"/>
          </w:tcPr>
          <w:p w14:paraId="7238142E" w14:textId="77777777" w:rsidR="003F6D20" w:rsidRPr="00EE335B" w:rsidRDefault="003F6D20" w:rsidP="007C3E4E">
            <w:pPr>
              <w:pStyle w:val="NoSpacing"/>
              <w:contextualSpacing/>
              <w:rPr>
                <w:rFonts w:ascii="Times New Roman" w:hAnsi="Times New Roman" w:cs="Times New Roman"/>
                <w:b w:val="0"/>
                <w:color w:val="auto"/>
                <w:sz w:val="14"/>
              </w:rPr>
            </w:pPr>
            <w:r w:rsidRPr="00EE335B">
              <w:rPr>
                <w:rFonts w:ascii="Times New Roman" w:hAnsi="Times New Roman" w:cs="Times New Roman"/>
                <w:b w:val="0"/>
                <w:color w:val="auto"/>
                <w:sz w:val="14"/>
              </w:rPr>
              <w:t>Unreported</w:t>
            </w:r>
          </w:p>
        </w:tc>
        <w:tc>
          <w:tcPr>
            <w:tcW w:w="1348" w:type="dxa"/>
            <w:shd w:val="clear" w:color="auto" w:fill="FFFFFF" w:themeFill="background1"/>
            <w:vAlign w:val="center"/>
          </w:tcPr>
          <w:p w14:paraId="6C6B0F10" w14:textId="77777777" w:rsidR="003F6D20" w:rsidRPr="00EE335B" w:rsidRDefault="003F6D20" w:rsidP="007C3E4E">
            <w:pPr>
              <w:pStyle w:val="NoSpacing"/>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8.4%</w:t>
            </w:r>
          </w:p>
        </w:tc>
        <w:tc>
          <w:tcPr>
            <w:tcW w:w="1348" w:type="dxa"/>
            <w:shd w:val="clear" w:color="auto" w:fill="FFFFFF" w:themeFill="background1"/>
            <w:vAlign w:val="center"/>
          </w:tcPr>
          <w:p w14:paraId="622DB772" w14:textId="77777777" w:rsidR="003F6D20" w:rsidRPr="00EE335B" w:rsidRDefault="003F6D20" w:rsidP="007C3E4E">
            <w:pPr>
              <w:pStyle w:val="NoSpacing"/>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4.6%</w:t>
            </w:r>
          </w:p>
        </w:tc>
        <w:tc>
          <w:tcPr>
            <w:tcW w:w="1348" w:type="dxa"/>
            <w:shd w:val="clear" w:color="auto" w:fill="FFFFFF" w:themeFill="background1"/>
            <w:vAlign w:val="center"/>
          </w:tcPr>
          <w:p w14:paraId="0EE37A24" w14:textId="77777777" w:rsidR="003F6D20" w:rsidRPr="00EE335B" w:rsidRDefault="003F6D20" w:rsidP="007C3E4E">
            <w:pPr>
              <w:pStyle w:val="NoSpacing"/>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4.8%</w:t>
            </w:r>
          </w:p>
        </w:tc>
        <w:tc>
          <w:tcPr>
            <w:tcW w:w="1348" w:type="dxa"/>
            <w:shd w:val="clear" w:color="auto" w:fill="FFFFFF" w:themeFill="background1"/>
            <w:vAlign w:val="center"/>
          </w:tcPr>
          <w:p w14:paraId="47D175DE" w14:textId="77777777" w:rsidR="003F6D20" w:rsidRPr="00EE335B" w:rsidRDefault="003F6D20" w:rsidP="007C3E4E">
            <w:pPr>
              <w:pStyle w:val="NoSpacing"/>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7.5%</w:t>
            </w:r>
          </w:p>
        </w:tc>
        <w:tc>
          <w:tcPr>
            <w:tcW w:w="1348" w:type="dxa"/>
            <w:shd w:val="clear" w:color="auto" w:fill="FFFFFF" w:themeFill="background1"/>
            <w:vAlign w:val="center"/>
          </w:tcPr>
          <w:p w14:paraId="49A3A7BB" w14:textId="77777777" w:rsidR="003F6D20" w:rsidRPr="00EE335B" w:rsidRDefault="003F6D20" w:rsidP="007C3E4E">
            <w:pPr>
              <w:pStyle w:val="NoSpacing"/>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7.6%</w:t>
            </w:r>
          </w:p>
        </w:tc>
        <w:tc>
          <w:tcPr>
            <w:tcW w:w="1349" w:type="dxa"/>
            <w:shd w:val="clear" w:color="auto" w:fill="FFFFFF" w:themeFill="background1"/>
            <w:vAlign w:val="center"/>
          </w:tcPr>
          <w:p w14:paraId="266681DC" w14:textId="77777777" w:rsidR="003F6D20" w:rsidRPr="00EE335B" w:rsidRDefault="003F6D20" w:rsidP="007C3E4E">
            <w:pPr>
              <w:pStyle w:val="NoSpacing"/>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6.3%</w:t>
            </w:r>
          </w:p>
        </w:tc>
      </w:tr>
      <w:tr w:rsidR="003F6D20" w:rsidRPr="00EE335B" w14:paraId="49B7EAFC" w14:textId="77777777" w:rsidTr="00AB59D5">
        <w:trPr>
          <w:trHeight w:val="288"/>
          <w:jc w:val="center"/>
        </w:trPr>
        <w:tc>
          <w:tcPr>
            <w:cnfStyle w:val="001000000000" w:firstRow="0" w:lastRow="0" w:firstColumn="1" w:lastColumn="0" w:oddVBand="0" w:evenVBand="0" w:oddHBand="0" w:evenHBand="0" w:firstRowFirstColumn="0" w:firstRowLastColumn="0" w:lastRowFirstColumn="0" w:lastRowLastColumn="0"/>
            <w:tcW w:w="1261" w:type="dxa"/>
            <w:tcBorders>
              <w:top w:val="single" w:sz="4" w:space="0" w:color="auto"/>
              <w:bottom w:val="single" w:sz="4" w:space="0" w:color="auto"/>
            </w:tcBorders>
            <w:shd w:val="clear" w:color="auto" w:fill="FFFFFF" w:themeFill="background1"/>
            <w:vAlign w:val="center"/>
          </w:tcPr>
          <w:p w14:paraId="55CA7758" w14:textId="77777777" w:rsidR="003F6D20" w:rsidRPr="00EE335B" w:rsidRDefault="003F6D20" w:rsidP="007C3E4E">
            <w:pPr>
              <w:contextualSpacing/>
              <w:rPr>
                <w:rFonts w:cs="Times New Roman"/>
                <w:b w:val="0"/>
                <w:color w:val="215868" w:themeColor="accent5" w:themeShade="80"/>
                <w:sz w:val="14"/>
              </w:rPr>
            </w:pPr>
            <w:r w:rsidRPr="00EE335B">
              <w:rPr>
                <w:rFonts w:cs="Times New Roman"/>
                <w:b w:val="0"/>
                <w:color w:val="215868" w:themeColor="accent5" w:themeShade="80"/>
                <w:sz w:val="14"/>
              </w:rPr>
              <w:t>Total</w:t>
            </w:r>
          </w:p>
        </w:tc>
        <w:tc>
          <w:tcPr>
            <w:tcW w:w="1348" w:type="dxa"/>
            <w:tcBorders>
              <w:top w:val="single" w:sz="4" w:space="0" w:color="auto"/>
              <w:bottom w:val="single" w:sz="4" w:space="0" w:color="auto"/>
            </w:tcBorders>
            <w:shd w:val="clear" w:color="auto" w:fill="FFFFFF" w:themeFill="background1"/>
            <w:vAlign w:val="center"/>
          </w:tcPr>
          <w:p w14:paraId="53515956" w14:textId="77777777" w:rsidR="003F6D20" w:rsidRPr="00EE335B" w:rsidRDefault="003F6D20" w:rsidP="007C3E4E">
            <w:pPr>
              <w:pStyle w:val="NoSpacing"/>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8" w:type="dxa"/>
            <w:tcBorders>
              <w:top w:val="single" w:sz="4" w:space="0" w:color="auto"/>
              <w:bottom w:val="single" w:sz="4" w:space="0" w:color="auto"/>
            </w:tcBorders>
            <w:shd w:val="clear" w:color="auto" w:fill="FFFFFF" w:themeFill="background1"/>
            <w:vAlign w:val="center"/>
          </w:tcPr>
          <w:p w14:paraId="72DD276F" w14:textId="77777777" w:rsidR="003F6D20" w:rsidRPr="00EE335B" w:rsidRDefault="003F6D20" w:rsidP="007C3E4E">
            <w:pPr>
              <w:pStyle w:val="NoSpacing"/>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8" w:type="dxa"/>
            <w:tcBorders>
              <w:top w:val="single" w:sz="4" w:space="0" w:color="auto"/>
              <w:bottom w:val="single" w:sz="4" w:space="0" w:color="auto"/>
            </w:tcBorders>
            <w:shd w:val="clear" w:color="auto" w:fill="FFFFFF" w:themeFill="background1"/>
            <w:vAlign w:val="center"/>
          </w:tcPr>
          <w:p w14:paraId="293EBC72" w14:textId="77777777" w:rsidR="003F6D20" w:rsidRPr="00EE335B" w:rsidRDefault="003F6D20" w:rsidP="007C3E4E">
            <w:pPr>
              <w:pStyle w:val="NoSpacing"/>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8" w:type="dxa"/>
            <w:tcBorders>
              <w:top w:val="single" w:sz="4" w:space="0" w:color="auto"/>
              <w:bottom w:val="single" w:sz="4" w:space="0" w:color="auto"/>
            </w:tcBorders>
            <w:shd w:val="clear" w:color="auto" w:fill="FFFFFF" w:themeFill="background1"/>
            <w:vAlign w:val="center"/>
          </w:tcPr>
          <w:p w14:paraId="66D02346" w14:textId="77777777" w:rsidR="003F6D20" w:rsidRPr="00EE335B" w:rsidRDefault="003F6D20" w:rsidP="007C3E4E">
            <w:pPr>
              <w:pStyle w:val="NoSpacing"/>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8" w:type="dxa"/>
            <w:tcBorders>
              <w:top w:val="single" w:sz="4" w:space="0" w:color="auto"/>
              <w:bottom w:val="single" w:sz="4" w:space="0" w:color="auto"/>
            </w:tcBorders>
            <w:shd w:val="clear" w:color="auto" w:fill="FFFFFF" w:themeFill="background1"/>
            <w:vAlign w:val="center"/>
          </w:tcPr>
          <w:p w14:paraId="59E627AB" w14:textId="77777777" w:rsidR="003F6D20" w:rsidRPr="00EE335B" w:rsidRDefault="003F6D20" w:rsidP="007C3E4E">
            <w:pPr>
              <w:pStyle w:val="NoSpacing"/>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9" w:type="dxa"/>
            <w:tcBorders>
              <w:top w:val="single" w:sz="4" w:space="0" w:color="auto"/>
              <w:bottom w:val="single" w:sz="4" w:space="0" w:color="auto"/>
            </w:tcBorders>
            <w:shd w:val="clear" w:color="auto" w:fill="FFFFFF" w:themeFill="background1"/>
            <w:vAlign w:val="center"/>
          </w:tcPr>
          <w:p w14:paraId="6D8CB2E5" w14:textId="77777777" w:rsidR="003F6D20" w:rsidRPr="00EE335B" w:rsidRDefault="003F6D20" w:rsidP="007C3E4E">
            <w:pPr>
              <w:pStyle w:val="NoSpacing"/>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r>
    </w:tbl>
    <w:p w14:paraId="2FBE9FB0" w14:textId="77777777" w:rsidR="003F6D20" w:rsidRPr="00EE335B" w:rsidRDefault="003F6D20" w:rsidP="003F6D20">
      <w:pPr>
        <w:rPr>
          <w:rFonts w:cs="Times New Roman"/>
          <w:sz w:val="20"/>
        </w:rPr>
      </w:pPr>
      <w:r w:rsidRPr="00EE335B">
        <w:rPr>
          <w:rFonts w:cs="Times New Roman"/>
          <w:i/>
          <w:sz w:val="14"/>
        </w:rPr>
        <w:t>Source: Management Information System (MIS); Student racial/ethnic group is identified based on a students’ most recently reported race/ethnicity value between Summer 2009 and Spring 2015</w:t>
      </w:r>
    </w:p>
    <w:p w14:paraId="27C54349" w14:textId="77777777" w:rsidR="003F6D20" w:rsidRPr="00EE335B" w:rsidRDefault="003F6D20" w:rsidP="003D4C4D">
      <w:pPr>
        <w:pStyle w:val="Heading4"/>
      </w:pPr>
      <w:r w:rsidRPr="00EE335B">
        <w:t>Residence Status</w:t>
      </w:r>
    </w:p>
    <w:p w14:paraId="55B30988" w14:textId="7939B2B4" w:rsidR="003F6D20" w:rsidRPr="00EE335B" w:rsidRDefault="003F6D20" w:rsidP="00B71792">
      <w:pPr>
        <w:pStyle w:val="Normalwithspacebetween"/>
      </w:pPr>
      <w:r w:rsidRPr="00EE335B">
        <w:t>The largest proportion of credit students are California residents (over eight in ten students). However, the Santa Monica College also enrolls a large number of international and out-of-state students. Over 6</w:t>
      </w:r>
      <w:r w:rsidR="00B5133B">
        <w:t xml:space="preserve"> percent</w:t>
      </w:r>
      <w:r w:rsidRPr="00EE335B">
        <w:t xml:space="preserve"> of the credit student population are from out-of-state; the proportion of students from out-of-state have remained relatively stable over the last six years. In 2014-2015, 10.4</w:t>
      </w:r>
      <w:r w:rsidR="00B5133B">
        <w:t xml:space="preserve"> percent</w:t>
      </w:r>
      <w:r w:rsidRPr="00EE335B">
        <w:t xml:space="preserve"> of credit students were international students (residents of a foreign country), an increase of 2.4</w:t>
      </w:r>
      <w:r w:rsidR="00B5133B">
        <w:t xml:space="preserve"> percent</w:t>
      </w:r>
      <w:r w:rsidRPr="00EE335B">
        <w:t xml:space="preserve"> over the 2009-2010 year. International students come from more than 110 different countries to attend Santa Monica College.</w:t>
      </w:r>
    </w:p>
    <w:p w14:paraId="50818138" w14:textId="77777777" w:rsidR="003F6D20" w:rsidRPr="00EE335B" w:rsidRDefault="003F6D20" w:rsidP="003F6D20">
      <w:pPr>
        <w:jc w:val="center"/>
        <w:rPr>
          <w:rFonts w:cs="Times New Roman"/>
          <w:sz w:val="20"/>
        </w:rPr>
      </w:pPr>
      <w:r w:rsidRPr="00EE335B">
        <w:rPr>
          <w:rFonts w:cs="Times New Roman"/>
          <w:noProof/>
          <w:sz w:val="12"/>
          <w:shd w:val="clear" w:color="auto" w:fill="B6DDE8" w:themeFill="accent5" w:themeFillTint="66"/>
        </w:rPr>
        <w:lastRenderedPageBreak/>
        <w:drawing>
          <wp:inline distT="0" distB="0" distL="0" distR="0" wp14:anchorId="3390BF2C" wp14:editId="5302DCFD">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34720E1" w14:textId="77777777" w:rsidR="003F6D20" w:rsidRPr="00EE335B" w:rsidRDefault="003F6D20" w:rsidP="003F6D20">
      <w:pPr>
        <w:rPr>
          <w:rFonts w:cs="Times New Roman"/>
          <w:sz w:val="14"/>
        </w:rPr>
      </w:pPr>
      <w:r w:rsidRPr="00EE335B">
        <w:rPr>
          <w:rFonts w:cs="Times New Roman"/>
          <w:i/>
          <w:sz w:val="14"/>
        </w:rPr>
        <w:t>Source: Management Information System (MIS)</w:t>
      </w:r>
    </w:p>
    <w:p w14:paraId="2AC521EB" w14:textId="77777777" w:rsidR="003F6D20" w:rsidRPr="00EE335B" w:rsidRDefault="003F6D20" w:rsidP="003F6D20">
      <w:pPr>
        <w:rPr>
          <w:rFonts w:cs="Times New Roman"/>
          <w:i/>
          <w:sz w:val="20"/>
        </w:rPr>
      </w:pPr>
    </w:p>
    <w:p w14:paraId="0800E6D4" w14:textId="77777777" w:rsidR="003F6D20" w:rsidRPr="00EE335B" w:rsidRDefault="003F6D20" w:rsidP="003D4C4D">
      <w:pPr>
        <w:pStyle w:val="Heading4"/>
      </w:pPr>
      <w:r w:rsidRPr="00EE335B">
        <w:t>Socioeconomic Status</w:t>
      </w:r>
    </w:p>
    <w:p w14:paraId="25A41567" w14:textId="77777777" w:rsidR="003F6D20" w:rsidRPr="00EE335B" w:rsidRDefault="003F6D20" w:rsidP="003F6D20">
      <w:pPr>
        <w:jc w:val="center"/>
        <w:rPr>
          <w:rFonts w:cs="Times New Roman"/>
          <w:i/>
          <w:sz w:val="20"/>
        </w:rPr>
      </w:pPr>
      <w:r w:rsidRPr="00EE335B">
        <w:rPr>
          <w:rFonts w:cs="Times New Roman"/>
          <w:noProof/>
          <w:sz w:val="12"/>
          <w:shd w:val="clear" w:color="auto" w:fill="B6DDE8" w:themeFill="accent5" w:themeFillTint="66"/>
        </w:rPr>
        <w:drawing>
          <wp:inline distT="0" distB="0" distL="0" distR="0" wp14:anchorId="2FE4C63B" wp14:editId="7695839F">
            <wp:extent cx="5486400" cy="3093057"/>
            <wp:effectExtent l="0" t="0" r="1905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2D5E7B6" w14:textId="77777777" w:rsidR="003F6D20" w:rsidRPr="00EE335B" w:rsidRDefault="003F6D20" w:rsidP="003F6D20">
      <w:pPr>
        <w:rPr>
          <w:rFonts w:cs="Times New Roman"/>
          <w:sz w:val="20"/>
        </w:rPr>
      </w:pPr>
      <w:r w:rsidRPr="00EE335B">
        <w:rPr>
          <w:rFonts w:cs="Times New Roman"/>
          <w:i/>
          <w:sz w:val="14"/>
        </w:rPr>
        <w:t>Source: Management Information System (MIS); Students are identified as economically disadvantaged based on: CalWORKS/TANF/AFDC, Supplemental Security Income (SSI), general assistance program (GA), BOG waiver status, Pell Grant status, as well as other guidelines provided in the “California State Plan for Vocational &amp; Technical Education”.</w:t>
      </w:r>
    </w:p>
    <w:p w14:paraId="0326FC0D" w14:textId="78BB198D" w:rsidR="003F6D20" w:rsidRPr="00EE335B" w:rsidRDefault="003F6D20" w:rsidP="00B71792">
      <w:pPr>
        <w:pStyle w:val="Normalwithspacebetween"/>
      </w:pPr>
      <w:r w:rsidRPr="00EE335B">
        <w:t>Between 2009-2010 and 2014-2015, the proportion of credit students identified as economically disadvantaged increased by nearly 20</w:t>
      </w:r>
      <w:r w:rsidR="00B5133B">
        <w:t xml:space="preserve"> percent</w:t>
      </w:r>
      <w:r w:rsidRPr="00EE335B">
        <w:t>. In the most recently reported academic year (2014-2015), over half of the credit student population were identified as being economically disadvantaged. During the same time period, the percentage of credit students who received financial aid also increased (see figure below).</w:t>
      </w:r>
    </w:p>
    <w:p w14:paraId="09A0246A" w14:textId="77777777" w:rsidR="003F6D20" w:rsidRPr="00EE335B" w:rsidRDefault="003F6D20" w:rsidP="003F6D20">
      <w:pPr>
        <w:jc w:val="center"/>
        <w:rPr>
          <w:rFonts w:cs="Times New Roman"/>
          <w:i/>
          <w:sz w:val="20"/>
        </w:rPr>
      </w:pPr>
      <w:r w:rsidRPr="00EE335B">
        <w:rPr>
          <w:rFonts w:cs="Times New Roman"/>
          <w:noProof/>
          <w:sz w:val="12"/>
          <w:shd w:val="clear" w:color="auto" w:fill="B6DDE8" w:themeFill="accent5" w:themeFillTint="66"/>
        </w:rPr>
        <w:lastRenderedPageBreak/>
        <w:drawing>
          <wp:inline distT="0" distB="0" distL="0" distR="0" wp14:anchorId="60E761D2" wp14:editId="27A0A742">
            <wp:extent cx="5486400" cy="3061252"/>
            <wp:effectExtent l="0" t="0" r="19050" b="254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FA1B7FF" w14:textId="77777777" w:rsidR="003F6D20" w:rsidRPr="00EE335B" w:rsidRDefault="003F6D20" w:rsidP="003F6D20">
      <w:pPr>
        <w:rPr>
          <w:rFonts w:cs="Times New Roman"/>
          <w:sz w:val="20"/>
        </w:rPr>
      </w:pPr>
      <w:r w:rsidRPr="00EE335B">
        <w:rPr>
          <w:rFonts w:cs="Times New Roman"/>
          <w:i/>
          <w:sz w:val="14"/>
        </w:rPr>
        <w:t>Source: Management Information System (MIS)</w:t>
      </w:r>
    </w:p>
    <w:p w14:paraId="16278593" w14:textId="77777777" w:rsidR="003F6D20" w:rsidRPr="00EE335B" w:rsidRDefault="003F6D20" w:rsidP="003D4C4D">
      <w:pPr>
        <w:pStyle w:val="Heading4"/>
      </w:pPr>
      <w:r w:rsidRPr="00EE335B">
        <w:t>First-generation College Status</w:t>
      </w:r>
    </w:p>
    <w:p w14:paraId="053C1EB0" w14:textId="19D0706A" w:rsidR="003F6D20" w:rsidRDefault="003F6D20" w:rsidP="00B71792">
      <w:pPr>
        <w:pStyle w:val="Normalwithspacebetween"/>
      </w:pPr>
      <w:r w:rsidRPr="00EE335B">
        <w:t>A f</w:t>
      </w:r>
      <w:r w:rsidR="00765A25" w:rsidRPr="00EE335B">
        <w:t>irst-generation college student</w:t>
      </w:r>
      <w:r w:rsidR="002B6F6A">
        <w:t xml:space="preserve"> is defined as a student</w:t>
      </w:r>
      <w:r w:rsidRPr="00EE335B">
        <w:t xml:space="preserve"> whose parent(s)/legal guardian(s) have not completed a bachelor’s degree. The College began systematically reporting the highest education level of the parents and guardians of students in 2012-2013. Approximately half of the credit population are first-generation college students. Between 2012-2013 and 2014-2015, the proportion of credit students who were first-generation college students increased slightly by 1.3</w:t>
      </w:r>
      <w:r w:rsidR="00B5133B">
        <w:t xml:space="preserve"> percent</w:t>
      </w:r>
      <w:r w:rsidRPr="00EE335B">
        <w:t xml:space="preserve">. The increase in this group may be related to the decrease in the proportion of students who did not provide their parent/guardian education information (unreported). </w:t>
      </w:r>
    </w:p>
    <w:p w14:paraId="613C56F1" w14:textId="77777777" w:rsidR="003D4C4D" w:rsidRPr="00EE335B" w:rsidRDefault="003D4C4D" w:rsidP="003D4C4D"/>
    <w:p w14:paraId="6E7207F2" w14:textId="77777777" w:rsidR="003F6D20" w:rsidRPr="00EE335B" w:rsidRDefault="003F6D20" w:rsidP="003F6D20">
      <w:pPr>
        <w:jc w:val="center"/>
        <w:rPr>
          <w:rFonts w:cs="Times New Roman"/>
          <w:sz w:val="20"/>
        </w:rPr>
      </w:pPr>
      <w:r w:rsidRPr="00EE335B">
        <w:rPr>
          <w:rFonts w:cs="Times New Roman"/>
          <w:noProof/>
          <w:sz w:val="12"/>
          <w:shd w:val="clear" w:color="auto" w:fill="B6DDE8" w:themeFill="accent5" w:themeFillTint="66"/>
        </w:rPr>
        <w:drawing>
          <wp:inline distT="0" distB="0" distL="0" distR="0" wp14:anchorId="593D4D04" wp14:editId="1FC07B94">
            <wp:extent cx="4238045" cy="2552065"/>
            <wp:effectExtent l="0" t="0" r="10160" b="63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7A7D018" w14:textId="77777777" w:rsidR="003F6D20" w:rsidRPr="00EE335B" w:rsidRDefault="003F6D20" w:rsidP="003F6D20">
      <w:pPr>
        <w:rPr>
          <w:rFonts w:cs="Times New Roman"/>
          <w:sz w:val="20"/>
        </w:rPr>
      </w:pPr>
      <w:r w:rsidRPr="00EE335B">
        <w:rPr>
          <w:rFonts w:cs="Times New Roman"/>
          <w:i/>
          <w:sz w:val="14"/>
        </w:rPr>
        <w:t>Source: Management Information System (MIS); first-generation college status was determined by students’ highest parents/guardian education level. This data element was systematically reported for all students beginning in 2012-2013.</w:t>
      </w:r>
    </w:p>
    <w:p w14:paraId="6BE6E1E3" w14:textId="77777777" w:rsidR="003F6D20" w:rsidRPr="00EE335B" w:rsidRDefault="003F6D20" w:rsidP="003F6D20">
      <w:pPr>
        <w:rPr>
          <w:rFonts w:cs="Times New Roman"/>
          <w:i/>
          <w:sz w:val="20"/>
        </w:rPr>
      </w:pPr>
    </w:p>
    <w:p w14:paraId="7EDDC9F8" w14:textId="77777777" w:rsidR="003F6D20" w:rsidRPr="00EE335B" w:rsidRDefault="003F6D20" w:rsidP="003D4C4D">
      <w:pPr>
        <w:pStyle w:val="Heading4"/>
      </w:pPr>
      <w:r w:rsidRPr="00EE335B">
        <w:lastRenderedPageBreak/>
        <w:t>Students with Disabilities</w:t>
      </w:r>
    </w:p>
    <w:p w14:paraId="1D9A27BB" w14:textId="407CBB8D" w:rsidR="003F6D20" w:rsidRPr="00EE335B" w:rsidRDefault="003F6D20" w:rsidP="00B71792">
      <w:pPr>
        <w:pStyle w:val="Normalwithspacebetween"/>
      </w:pPr>
      <w:r w:rsidRPr="00EE335B">
        <w:t>Between 2009-2010 and 2014-2015, the proportion of credit students who identified as having a disability slightly increased by 0.9</w:t>
      </w:r>
      <w:r w:rsidR="00B5133B">
        <w:t xml:space="preserve"> percent</w:t>
      </w:r>
      <w:r w:rsidRPr="00EE335B">
        <w:t>. In 2014-2015, over 1,300 students or 3.1</w:t>
      </w:r>
      <w:r w:rsidR="00B5133B">
        <w:t xml:space="preserve"> percent</w:t>
      </w:r>
      <w:r w:rsidRPr="00EE335B">
        <w:t xml:space="preserve"> of the credit population reported having a disability.</w:t>
      </w:r>
    </w:p>
    <w:p w14:paraId="3DF2F57E" w14:textId="77777777" w:rsidR="003F6D20" w:rsidRPr="00EE335B" w:rsidRDefault="003F6D20" w:rsidP="003F6D20">
      <w:pPr>
        <w:jc w:val="center"/>
        <w:rPr>
          <w:rFonts w:cs="Times New Roman"/>
          <w:sz w:val="20"/>
        </w:rPr>
      </w:pPr>
      <w:r w:rsidRPr="00EE335B">
        <w:rPr>
          <w:rFonts w:cs="Times New Roman"/>
          <w:sz w:val="20"/>
        </w:rPr>
        <w:t>Disability Status, 2009-2010 to 2014-2015</w:t>
      </w:r>
    </w:p>
    <w:tbl>
      <w:tblPr>
        <w:tblStyle w:val="GridTable5Dark-Accent51"/>
        <w:tblW w:w="0" w:type="auto"/>
        <w:jc w:val="center"/>
        <w:tblLook w:val="04A0" w:firstRow="1" w:lastRow="0" w:firstColumn="1" w:lastColumn="0" w:noHBand="0" w:noVBand="1"/>
      </w:tblPr>
      <w:tblGrid>
        <w:gridCol w:w="1247"/>
        <w:gridCol w:w="1328"/>
        <w:gridCol w:w="1328"/>
        <w:gridCol w:w="1328"/>
        <w:gridCol w:w="1328"/>
        <w:gridCol w:w="1328"/>
        <w:gridCol w:w="1329"/>
      </w:tblGrid>
      <w:tr w:rsidR="003F6D20" w:rsidRPr="00EE335B" w14:paraId="152A68B1" w14:textId="77777777" w:rsidTr="00AB59D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61" w:type="dxa"/>
            <w:tcBorders>
              <w:top w:val="nil"/>
              <w:left w:val="nil"/>
              <w:bottom w:val="nil"/>
            </w:tcBorders>
          </w:tcPr>
          <w:p w14:paraId="2CC0C455" w14:textId="77777777" w:rsidR="003F6D20" w:rsidRPr="00EE335B" w:rsidRDefault="003F6D20" w:rsidP="00EE335B">
            <w:pPr>
              <w:rPr>
                <w:rFonts w:cs="Times New Roman"/>
                <w:b w:val="0"/>
                <w:sz w:val="14"/>
              </w:rPr>
            </w:pPr>
          </w:p>
        </w:tc>
        <w:tc>
          <w:tcPr>
            <w:tcW w:w="1348" w:type="dxa"/>
            <w:tcBorders>
              <w:top w:val="nil"/>
              <w:bottom w:val="nil"/>
            </w:tcBorders>
          </w:tcPr>
          <w:p w14:paraId="7A38B762"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2009-2010</w:t>
            </w:r>
          </w:p>
          <w:p w14:paraId="6CE027E1"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49,704)</w:t>
            </w:r>
          </w:p>
        </w:tc>
        <w:tc>
          <w:tcPr>
            <w:tcW w:w="1348" w:type="dxa"/>
            <w:tcBorders>
              <w:top w:val="nil"/>
              <w:bottom w:val="nil"/>
            </w:tcBorders>
          </w:tcPr>
          <w:p w14:paraId="6E66D78D"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2010-2011</w:t>
            </w:r>
          </w:p>
          <w:p w14:paraId="7A681CF4"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46,591)</w:t>
            </w:r>
          </w:p>
        </w:tc>
        <w:tc>
          <w:tcPr>
            <w:tcW w:w="1348" w:type="dxa"/>
            <w:tcBorders>
              <w:top w:val="nil"/>
              <w:bottom w:val="nil"/>
            </w:tcBorders>
          </w:tcPr>
          <w:p w14:paraId="072BA9AA"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2011-2012</w:t>
            </w:r>
          </w:p>
          <w:p w14:paraId="31189D53"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42,775)</w:t>
            </w:r>
          </w:p>
        </w:tc>
        <w:tc>
          <w:tcPr>
            <w:tcW w:w="1348" w:type="dxa"/>
            <w:tcBorders>
              <w:top w:val="nil"/>
              <w:bottom w:val="nil"/>
            </w:tcBorders>
          </w:tcPr>
          <w:p w14:paraId="18584655"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2012-2013</w:t>
            </w:r>
          </w:p>
          <w:p w14:paraId="0D8EE1CE"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42,037)</w:t>
            </w:r>
          </w:p>
        </w:tc>
        <w:tc>
          <w:tcPr>
            <w:tcW w:w="1348" w:type="dxa"/>
            <w:tcBorders>
              <w:top w:val="nil"/>
              <w:bottom w:val="nil"/>
            </w:tcBorders>
          </w:tcPr>
          <w:p w14:paraId="3D7954C8"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2013-2014</w:t>
            </w:r>
          </w:p>
          <w:p w14:paraId="72B6584A"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41,553)</w:t>
            </w:r>
          </w:p>
        </w:tc>
        <w:tc>
          <w:tcPr>
            <w:tcW w:w="1349" w:type="dxa"/>
            <w:tcBorders>
              <w:top w:val="nil"/>
              <w:bottom w:val="nil"/>
              <w:right w:val="nil"/>
            </w:tcBorders>
          </w:tcPr>
          <w:p w14:paraId="586614B4"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2014-2015</w:t>
            </w:r>
          </w:p>
          <w:p w14:paraId="5F35271D"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42,756)</w:t>
            </w:r>
          </w:p>
        </w:tc>
      </w:tr>
      <w:tr w:rsidR="003F6D20" w:rsidRPr="00EE335B" w14:paraId="71A40945" w14:textId="77777777" w:rsidTr="00AB59D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61" w:type="dxa"/>
            <w:vMerge w:val="restart"/>
            <w:tcBorders>
              <w:top w:val="nil"/>
            </w:tcBorders>
            <w:shd w:val="clear" w:color="auto" w:fill="FFFFFF" w:themeFill="background1"/>
            <w:vAlign w:val="center"/>
          </w:tcPr>
          <w:p w14:paraId="16FF0A05" w14:textId="77777777" w:rsidR="003F6D20" w:rsidRPr="00EE335B" w:rsidRDefault="003F6D20" w:rsidP="00EE335B">
            <w:pPr>
              <w:rPr>
                <w:rFonts w:cs="Times New Roman"/>
                <w:b w:val="0"/>
                <w:color w:val="215868" w:themeColor="accent5" w:themeShade="80"/>
                <w:sz w:val="14"/>
              </w:rPr>
            </w:pPr>
            <w:r w:rsidRPr="00EE335B">
              <w:rPr>
                <w:rFonts w:cs="Times New Roman"/>
                <w:b w:val="0"/>
                <w:color w:val="215868" w:themeColor="accent5" w:themeShade="80"/>
                <w:sz w:val="14"/>
              </w:rPr>
              <w:t>Disability reported</w:t>
            </w:r>
          </w:p>
        </w:tc>
        <w:tc>
          <w:tcPr>
            <w:tcW w:w="1348" w:type="dxa"/>
            <w:tcBorders>
              <w:top w:val="nil"/>
              <w:bottom w:val="single" w:sz="4" w:space="0" w:color="FFFFFF" w:themeColor="background1"/>
            </w:tcBorders>
            <w:shd w:val="clear" w:color="auto" w:fill="FFFFFF" w:themeFill="background1"/>
            <w:vAlign w:val="center"/>
          </w:tcPr>
          <w:p w14:paraId="513032BD"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48,628</w:t>
            </w:r>
          </w:p>
        </w:tc>
        <w:tc>
          <w:tcPr>
            <w:tcW w:w="1348" w:type="dxa"/>
            <w:tcBorders>
              <w:top w:val="nil"/>
              <w:bottom w:val="single" w:sz="4" w:space="0" w:color="FFFFFF" w:themeColor="background1"/>
            </w:tcBorders>
            <w:shd w:val="clear" w:color="auto" w:fill="FFFFFF" w:themeFill="background1"/>
            <w:vAlign w:val="center"/>
          </w:tcPr>
          <w:p w14:paraId="41175D18"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45,428</w:t>
            </w:r>
          </w:p>
        </w:tc>
        <w:tc>
          <w:tcPr>
            <w:tcW w:w="1348" w:type="dxa"/>
            <w:tcBorders>
              <w:top w:val="nil"/>
              <w:bottom w:val="single" w:sz="4" w:space="0" w:color="FFFFFF" w:themeColor="background1"/>
            </w:tcBorders>
            <w:shd w:val="clear" w:color="auto" w:fill="FFFFFF" w:themeFill="background1"/>
            <w:vAlign w:val="center"/>
          </w:tcPr>
          <w:p w14:paraId="385B32CB"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41,491</w:t>
            </w:r>
          </w:p>
        </w:tc>
        <w:tc>
          <w:tcPr>
            <w:tcW w:w="1348" w:type="dxa"/>
            <w:tcBorders>
              <w:top w:val="nil"/>
              <w:bottom w:val="single" w:sz="4" w:space="0" w:color="FFFFFF" w:themeColor="background1"/>
            </w:tcBorders>
            <w:shd w:val="clear" w:color="auto" w:fill="FFFFFF" w:themeFill="background1"/>
            <w:vAlign w:val="center"/>
          </w:tcPr>
          <w:p w14:paraId="1DB85DC1"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40,770</w:t>
            </w:r>
          </w:p>
        </w:tc>
        <w:tc>
          <w:tcPr>
            <w:tcW w:w="1348" w:type="dxa"/>
            <w:tcBorders>
              <w:top w:val="nil"/>
              <w:bottom w:val="single" w:sz="4" w:space="0" w:color="FFFFFF" w:themeColor="background1"/>
            </w:tcBorders>
            <w:shd w:val="clear" w:color="auto" w:fill="FFFFFF" w:themeFill="background1"/>
            <w:vAlign w:val="center"/>
          </w:tcPr>
          <w:p w14:paraId="44F17DF2"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40,267</w:t>
            </w:r>
          </w:p>
        </w:tc>
        <w:tc>
          <w:tcPr>
            <w:tcW w:w="1349" w:type="dxa"/>
            <w:tcBorders>
              <w:top w:val="nil"/>
              <w:bottom w:val="single" w:sz="4" w:space="0" w:color="FFFFFF" w:themeColor="background1"/>
            </w:tcBorders>
            <w:shd w:val="clear" w:color="auto" w:fill="FFFFFF" w:themeFill="background1"/>
            <w:vAlign w:val="center"/>
          </w:tcPr>
          <w:p w14:paraId="7F7975AA"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41,421</w:t>
            </w:r>
          </w:p>
        </w:tc>
      </w:tr>
      <w:tr w:rsidR="003F6D20" w:rsidRPr="00EE335B" w14:paraId="17366543" w14:textId="77777777" w:rsidTr="00AB59D5">
        <w:trPr>
          <w:trHeight w:val="288"/>
          <w:jc w:val="center"/>
        </w:trPr>
        <w:tc>
          <w:tcPr>
            <w:cnfStyle w:val="001000000000" w:firstRow="0" w:lastRow="0" w:firstColumn="1" w:lastColumn="0" w:oddVBand="0" w:evenVBand="0" w:oddHBand="0" w:evenHBand="0" w:firstRowFirstColumn="0" w:firstRowLastColumn="0" w:lastRowFirstColumn="0" w:lastRowLastColumn="0"/>
            <w:tcW w:w="1261" w:type="dxa"/>
            <w:vMerge/>
            <w:tcBorders>
              <w:bottom w:val="single" w:sz="4" w:space="0" w:color="auto"/>
            </w:tcBorders>
            <w:shd w:val="clear" w:color="auto" w:fill="FFFFFF" w:themeFill="background1"/>
            <w:vAlign w:val="center"/>
          </w:tcPr>
          <w:p w14:paraId="3D04887D" w14:textId="77777777" w:rsidR="003F6D20" w:rsidRPr="00EE335B" w:rsidRDefault="003F6D20" w:rsidP="00EE335B">
            <w:pPr>
              <w:rPr>
                <w:rFonts w:cs="Times New Roman"/>
                <w:b w:val="0"/>
                <w:color w:val="215868" w:themeColor="accent5" w:themeShade="80"/>
                <w:sz w:val="14"/>
              </w:rPr>
            </w:pPr>
          </w:p>
        </w:tc>
        <w:tc>
          <w:tcPr>
            <w:tcW w:w="1348" w:type="dxa"/>
            <w:tcBorders>
              <w:top w:val="single" w:sz="4" w:space="0" w:color="FFFFFF" w:themeColor="background1"/>
              <w:bottom w:val="single" w:sz="4" w:space="0" w:color="auto"/>
            </w:tcBorders>
            <w:vAlign w:val="center"/>
          </w:tcPr>
          <w:p w14:paraId="71F4F6F4"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97.8%</w:t>
            </w:r>
          </w:p>
        </w:tc>
        <w:tc>
          <w:tcPr>
            <w:tcW w:w="1348" w:type="dxa"/>
            <w:tcBorders>
              <w:top w:val="single" w:sz="4" w:space="0" w:color="FFFFFF" w:themeColor="background1"/>
              <w:bottom w:val="single" w:sz="4" w:space="0" w:color="auto"/>
            </w:tcBorders>
            <w:vAlign w:val="center"/>
          </w:tcPr>
          <w:p w14:paraId="5DB2DCC9"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97.5%</w:t>
            </w:r>
          </w:p>
        </w:tc>
        <w:tc>
          <w:tcPr>
            <w:tcW w:w="1348" w:type="dxa"/>
            <w:tcBorders>
              <w:top w:val="single" w:sz="4" w:space="0" w:color="FFFFFF" w:themeColor="background1"/>
              <w:bottom w:val="single" w:sz="4" w:space="0" w:color="auto"/>
            </w:tcBorders>
            <w:vAlign w:val="center"/>
          </w:tcPr>
          <w:p w14:paraId="31CCE576"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97.0%</w:t>
            </w:r>
          </w:p>
        </w:tc>
        <w:tc>
          <w:tcPr>
            <w:tcW w:w="1348" w:type="dxa"/>
            <w:tcBorders>
              <w:top w:val="single" w:sz="4" w:space="0" w:color="FFFFFF" w:themeColor="background1"/>
              <w:bottom w:val="single" w:sz="4" w:space="0" w:color="auto"/>
            </w:tcBorders>
            <w:vAlign w:val="center"/>
          </w:tcPr>
          <w:p w14:paraId="1C8B9C90"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97.0%</w:t>
            </w:r>
          </w:p>
        </w:tc>
        <w:tc>
          <w:tcPr>
            <w:tcW w:w="1348" w:type="dxa"/>
            <w:tcBorders>
              <w:top w:val="single" w:sz="4" w:space="0" w:color="FFFFFF" w:themeColor="background1"/>
              <w:bottom w:val="single" w:sz="4" w:space="0" w:color="auto"/>
            </w:tcBorders>
            <w:vAlign w:val="center"/>
          </w:tcPr>
          <w:p w14:paraId="3301F8BC"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96.9%</w:t>
            </w:r>
          </w:p>
        </w:tc>
        <w:tc>
          <w:tcPr>
            <w:tcW w:w="1349" w:type="dxa"/>
            <w:tcBorders>
              <w:top w:val="single" w:sz="4" w:space="0" w:color="FFFFFF" w:themeColor="background1"/>
              <w:bottom w:val="single" w:sz="4" w:space="0" w:color="auto"/>
            </w:tcBorders>
            <w:vAlign w:val="center"/>
          </w:tcPr>
          <w:p w14:paraId="6DB01584"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96.9%</w:t>
            </w:r>
          </w:p>
        </w:tc>
      </w:tr>
      <w:tr w:rsidR="003F6D20" w:rsidRPr="00EE335B" w14:paraId="2F15A618" w14:textId="77777777" w:rsidTr="00AB59D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61" w:type="dxa"/>
            <w:vMerge w:val="restart"/>
            <w:tcBorders>
              <w:top w:val="single" w:sz="4" w:space="0" w:color="auto"/>
            </w:tcBorders>
            <w:shd w:val="clear" w:color="auto" w:fill="FFFFFF" w:themeFill="background1"/>
            <w:vAlign w:val="center"/>
          </w:tcPr>
          <w:p w14:paraId="1CD77C01" w14:textId="77777777" w:rsidR="003F6D20" w:rsidRPr="00EE335B" w:rsidRDefault="003F6D20" w:rsidP="00EE335B">
            <w:pPr>
              <w:rPr>
                <w:rFonts w:cs="Times New Roman"/>
                <w:b w:val="0"/>
                <w:color w:val="215868" w:themeColor="accent5" w:themeShade="80"/>
                <w:sz w:val="14"/>
              </w:rPr>
            </w:pPr>
            <w:r w:rsidRPr="00EE335B">
              <w:rPr>
                <w:rFonts w:cs="Times New Roman"/>
                <w:b w:val="0"/>
                <w:color w:val="215868" w:themeColor="accent5" w:themeShade="80"/>
                <w:sz w:val="14"/>
              </w:rPr>
              <w:t>No disability reported</w:t>
            </w:r>
          </w:p>
        </w:tc>
        <w:tc>
          <w:tcPr>
            <w:tcW w:w="1348" w:type="dxa"/>
            <w:tcBorders>
              <w:top w:val="single" w:sz="4" w:space="0" w:color="auto"/>
            </w:tcBorders>
            <w:shd w:val="clear" w:color="auto" w:fill="FFFFFF" w:themeFill="background1"/>
            <w:vAlign w:val="center"/>
          </w:tcPr>
          <w:p w14:paraId="11BD02D7"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1,076</w:t>
            </w:r>
          </w:p>
        </w:tc>
        <w:tc>
          <w:tcPr>
            <w:tcW w:w="1348" w:type="dxa"/>
            <w:tcBorders>
              <w:top w:val="single" w:sz="4" w:space="0" w:color="auto"/>
            </w:tcBorders>
            <w:shd w:val="clear" w:color="auto" w:fill="FFFFFF" w:themeFill="background1"/>
            <w:vAlign w:val="center"/>
          </w:tcPr>
          <w:p w14:paraId="1B22A8BB"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1,163</w:t>
            </w:r>
          </w:p>
        </w:tc>
        <w:tc>
          <w:tcPr>
            <w:tcW w:w="1348" w:type="dxa"/>
            <w:tcBorders>
              <w:top w:val="single" w:sz="4" w:space="0" w:color="auto"/>
            </w:tcBorders>
            <w:shd w:val="clear" w:color="auto" w:fill="FFFFFF" w:themeFill="background1"/>
            <w:vAlign w:val="center"/>
          </w:tcPr>
          <w:p w14:paraId="1BAFD15F"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1,284</w:t>
            </w:r>
          </w:p>
        </w:tc>
        <w:tc>
          <w:tcPr>
            <w:tcW w:w="1348" w:type="dxa"/>
            <w:tcBorders>
              <w:top w:val="single" w:sz="4" w:space="0" w:color="auto"/>
            </w:tcBorders>
            <w:shd w:val="clear" w:color="auto" w:fill="FFFFFF" w:themeFill="background1"/>
            <w:vAlign w:val="center"/>
          </w:tcPr>
          <w:p w14:paraId="42FFEF45"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1,267</w:t>
            </w:r>
          </w:p>
        </w:tc>
        <w:tc>
          <w:tcPr>
            <w:tcW w:w="1348" w:type="dxa"/>
            <w:tcBorders>
              <w:top w:val="single" w:sz="4" w:space="0" w:color="auto"/>
            </w:tcBorders>
            <w:shd w:val="clear" w:color="auto" w:fill="FFFFFF" w:themeFill="background1"/>
            <w:vAlign w:val="center"/>
          </w:tcPr>
          <w:p w14:paraId="6F8B0806"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1,286</w:t>
            </w:r>
          </w:p>
        </w:tc>
        <w:tc>
          <w:tcPr>
            <w:tcW w:w="1349" w:type="dxa"/>
            <w:tcBorders>
              <w:top w:val="single" w:sz="4" w:space="0" w:color="auto"/>
            </w:tcBorders>
            <w:shd w:val="clear" w:color="auto" w:fill="FFFFFF" w:themeFill="background1"/>
            <w:vAlign w:val="center"/>
          </w:tcPr>
          <w:p w14:paraId="43BFC5D7"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1,335</w:t>
            </w:r>
          </w:p>
        </w:tc>
      </w:tr>
      <w:tr w:rsidR="003F6D20" w:rsidRPr="00EE335B" w14:paraId="07E8650A" w14:textId="77777777" w:rsidTr="00AB59D5">
        <w:trPr>
          <w:trHeight w:val="288"/>
          <w:jc w:val="center"/>
        </w:trPr>
        <w:tc>
          <w:tcPr>
            <w:cnfStyle w:val="001000000000" w:firstRow="0" w:lastRow="0" w:firstColumn="1" w:lastColumn="0" w:oddVBand="0" w:evenVBand="0" w:oddHBand="0" w:evenHBand="0" w:firstRowFirstColumn="0" w:firstRowLastColumn="0" w:lastRowFirstColumn="0" w:lastRowLastColumn="0"/>
            <w:tcW w:w="1261" w:type="dxa"/>
            <w:vMerge/>
            <w:shd w:val="clear" w:color="auto" w:fill="FFFFFF" w:themeFill="background1"/>
            <w:vAlign w:val="center"/>
          </w:tcPr>
          <w:p w14:paraId="6C91AA27" w14:textId="77777777" w:rsidR="003F6D20" w:rsidRPr="00EE335B" w:rsidRDefault="003F6D20" w:rsidP="00EE335B">
            <w:pPr>
              <w:rPr>
                <w:rFonts w:cs="Times New Roman"/>
                <w:b w:val="0"/>
                <w:color w:val="215868" w:themeColor="accent5" w:themeShade="80"/>
                <w:sz w:val="14"/>
              </w:rPr>
            </w:pPr>
          </w:p>
        </w:tc>
        <w:tc>
          <w:tcPr>
            <w:tcW w:w="1348" w:type="dxa"/>
            <w:vAlign w:val="center"/>
          </w:tcPr>
          <w:p w14:paraId="2B39864B"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2.2%</w:t>
            </w:r>
          </w:p>
        </w:tc>
        <w:tc>
          <w:tcPr>
            <w:tcW w:w="1348" w:type="dxa"/>
            <w:vAlign w:val="center"/>
          </w:tcPr>
          <w:p w14:paraId="58E1A2EB"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2.5%</w:t>
            </w:r>
          </w:p>
        </w:tc>
        <w:tc>
          <w:tcPr>
            <w:tcW w:w="1348" w:type="dxa"/>
            <w:vAlign w:val="center"/>
          </w:tcPr>
          <w:p w14:paraId="6333E9A3"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3.0%</w:t>
            </w:r>
          </w:p>
        </w:tc>
        <w:tc>
          <w:tcPr>
            <w:tcW w:w="1348" w:type="dxa"/>
            <w:vAlign w:val="center"/>
          </w:tcPr>
          <w:p w14:paraId="5996EB01"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3.0%</w:t>
            </w:r>
          </w:p>
        </w:tc>
        <w:tc>
          <w:tcPr>
            <w:tcW w:w="1348" w:type="dxa"/>
            <w:vAlign w:val="center"/>
          </w:tcPr>
          <w:p w14:paraId="0DC26892"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3.1%</w:t>
            </w:r>
          </w:p>
        </w:tc>
        <w:tc>
          <w:tcPr>
            <w:tcW w:w="1349" w:type="dxa"/>
            <w:vAlign w:val="center"/>
          </w:tcPr>
          <w:p w14:paraId="76326F65"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3.1%</w:t>
            </w:r>
          </w:p>
        </w:tc>
      </w:tr>
      <w:tr w:rsidR="003F6D20" w:rsidRPr="00EE335B" w14:paraId="747AF2D5" w14:textId="77777777" w:rsidTr="00AB59D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61" w:type="dxa"/>
            <w:tcBorders>
              <w:top w:val="single" w:sz="4" w:space="0" w:color="auto"/>
              <w:bottom w:val="single" w:sz="4" w:space="0" w:color="auto"/>
            </w:tcBorders>
            <w:shd w:val="clear" w:color="auto" w:fill="FFFFFF" w:themeFill="background1"/>
            <w:vAlign w:val="center"/>
          </w:tcPr>
          <w:p w14:paraId="7978E11C" w14:textId="77777777" w:rsidR="003F6D20" w:rsidRPr="00EE335B" w:rsidRDefault="003F6D20" w:rsidP="00EE335B">
            <w:pPr>
              <w:rPr>
                <w:rFonts w:cs="Times New Roman"/>
                <w:b w:val="0"/>
                <w:color w:val="215868" w:themeColor="accent5" w:themeShade="80"/>
                <w:sz w:val="14"/>
              </w:rPr>
            </w:pPr>
            <w:r w:rsidRPr="00EE335B">
              <w:rPr>
                <w:rFonts w:cs="Times New Roman"/>
                <w:b w:val="0"/>
                <w:color w:val="215868" w:themeColor="accent5" w:themeShade="80"/>
                <w:sz w:val="14"/>
              </w:rPr>
              <w:t>Total</w:t>
            </w:r>
          </w:p>
        </w:tc>
        <w:tc>
          <w:tcPr>
            <w:tcW w:w="1348" w:type="dxa"/>
            <w:tcBorders>
              <w:top w:val="single" w:sz="4" w:space="0" w:color="auto"/>
              <w:bottom w:val="single" w:sz="4" w:space="0" w:color="auto"/>
            </w:tcBorders>
            <w:shd w:val="clear" w:color="auto" w:fill="FFFFFF" w:themeFill="background1"/>
            <w:vAlign w:val="center"/>
          </w:tcPr>
          <w:p w14:paraId="2D60DD05"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8" w:type="dxa"/>
            <w:tcBorders>
              <w:top w:val="single" w:sz="4" w:space="0" w:color="auto"/>
              <w:bottom w:val="single" w:sz="4" w:space="0" w:color="auto"/>
            </w:tcBorders>
            <w:shd w:val="clear" w:color="auto" w:fill="FFFFFF" w:themeFill="background1"/>
            <w:vAlign w:val="center"/>
          </w:tcPr>
          <w:p w14:paraId="780BC761"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8" w:type="dxa"/>
            <w:tcBorders>
              <w:top w:val="single" w:sz="4" w:space="0" w:color="auto"/>
              <w:bottom w:val="single" w:sz="4" w:space="0" w:color="auto"/>
            </w:tcBorders>
            <w:shd w:val="clear" w:color="auto" w:fill="FFFFFF" w:themeFill="background1"/>
            <w:vAlign w:val="center"/>
          </w:tcPr>
          <w:p w14:paraId="76ECC7C6"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8" w:type="dxa"/>
            <w:tcBorders>
              <w:top w:val="single" w:sz="4" w:space="0" w:color="auto"/>
              <w:bottom w:val="single" w:sz="4" w:space="0" w:color="auto"/>
            </w:tcBorders>
            <w:shd w:val="clear" w:color="auto" w:fill="FFFFFF" w:themeFill="background1"/>
            <w:vAlign w:val="center"/>
          </w:tcPr>
          <w:p w14:paraId="74B8FABA"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8" w:type="dxa"/>
            <w:tcBorders>
              <w:top w:val="single" w:sz="4" w:space="0" w:color="auto"/>
              <w:bottom w:val="single" w:sz="4" w:space="0" w:color="auto"/>
            </w:tcBorders>
            <w:shd w:val="clear" w:color="auto" w:fill="FFFFFF" w:themeFill="background1"/>
            <w:vAlign w:val="center"/>
          </w:tcPr>
          <w:p w14:paraId="77779EE3"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9" w:type="dxa"/>
            <w:tcBorders>
              <w:top w:val="single" w:sz="4" w:space="0" w:color="auto"/>
              <w:bottom w:val="single" w:sz="4" w:space="0" w:color="auto"/>
            </w:tcBorders>
            <w:shd w:val="clear" w:color="auto" w:fill="FFFFFF" w:themeFill="background1"/>
            <w:vAlign w:val="center"/>
          </w:tcPr>
          <w:p w14:paraId="43176B44"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r>
    </w:tbl>
    <w:p w14:paraId="2BC2BB22" w14:textId="77777777" w:rsidR="003F6D20" w:rsidRPr="00EE335B" w:rsidRDefault="003F6D20" w:rsidP="003F6D20">
      <w:pPr>
        <w:rPr>
          <w:rFonts w:cs="Times New Roman"/>
          <w:sz w:val="20"/>
        </w:rPr>
      </w:pPr>
      <w:r w:rsidRPr="00EE335B">
        <w:rPr>
          <w:rFonts w:cs="Times New Roman"/>
          <w:i/>
          <w:sz w:val="14"/>
        </w:rPr>
        <w:t>Source: Management Information System (MIS); Students are identified as having a disability if they reported a disability at least once during the observed academic year. Students are identified as having a disability regardless of whether they choose to utilize DSPS services.</w:t>
      </w:r>
    </w:p>
    <w:p w14:paraId="6891D49A" w14:textId="77777777" w:rsidR="003F6D20" w:rsidRPr="00EE335B" w:rsidRDefault="003F6D20" w:rsidP="003F6D20">
      <w:pPr>
        <w:rPr>
          <w:rFonts w:cs="Times New Roman"/>
          <w:i/>
          <w:sz w:val="20"/>
        </w:rPr>
      </w:pPr>
    </w:p>
    <w:p w14:paraId="4AFB8316" w14:textId="77777777" w:rsidR="003F6D20" w:rsidRPr="00EE335B" w:rsidRDefault="003F6D20" w:rsidP="003D4C4D">
      <w:pPr>
        <w:pStyle w:val="Heading4"/>
      </w:pPr>
      <w:r w:rsidRPr="00EE335B">
        <w:t>Veteran Students</w:t>
      </w:r>
    </w:p>
    <w:p w14:paraId="2DE0BC15" w14:textId="48D7B16B" w:rsidR="003F6D20" w:rsidRPr="00EE335B" w:rsidRDefault="003F6D20" w:rsidP="00B71792">
      <w:pPr>
        <w:pStyle w:val="Normalwithspacebetween"/>
      </w:pPr>
      <w:r w:rsidRPr="00EE335B">
        <w:t>The College began systematically reporting students’ veteran status in 2012-2013. Over the last three academic years, Santa Monica College enrolled over 900 veteran students annually. Over 2</w:t>
      </w:r>
      <w:r w:rsidR="00B5133B">
        <w:t xml:space="preserve"> percent</w:t>
      </w:r>
      <w:r w:rsidRPr="00EE335B">
        <w:t xml:space="preserve"> of the credit population identified as having served and being a veteran of a branch of the U</w:t>
      </w:r>
      <w:r w:rsidR="001C0BCD">
        <w:t>.</w:t>
      </w:r>
      <w:r w:rsidRPr="00EE335B">
        <w:t>S</w:t>
      </w:r>
      <w:r w:rsidR="001C0BCD">
        <w:t>.</w:t>
      </w:r>
      <w:r w:rsidRPr="00EE335B">
        <w:t xml:space="preserve"> military. </w:t>
      </w:r>
    </w:p>
    <w:p w14:paraId="03DCEE36" w14:textId="77777777" w:rsidR="003F6D20" w:rsidRPr="00EE335B" w:rsidRDefault="003F6D20" w:rsidP="00B5133B">
      <w:pPr>
        <w:keepNext/>
        <w:keepLines/>
        <w:jc w:val="center"/>
        <w:rPr>
          <w:rFonts w:cs="Times New Roman"/>
          <w:sz w:val="20"/>
        </w:rPr>
      </w:pPr>
      <w:r w:rsidRPr="00EE335B">
        <w:rPr>
          <w:rFonts w:cs="Times New Roman"/>
          <w:sz w:val="20"/>
        </w:rPr>
        <w:t>Veteran Status, 2009-2010 to 2014-2015</w:t>
      </w:r>
    </w:p>
    <w:tbl>
      <w:tblPr>
        <w:tblStyle w:val="GridTable5Dark-Accent51"/>
        <w:tblW w:w="0" w:type="auto"/>
        <w:jc w:val="center"/>
        <w:tblLook w:val="04A0" w:firstRow="1" w:lastRow="0" w:firstColumn="1" w:lastColumn="0" w:noHBand="0" w:noVBand="1"/>
      </w:tblPr>
      <w:tblGrid>
        <w:gridCol w:w="1261"/>
        <w:gridCol w:w="1348"/>
        <w:gridCol w:w="1348"/>
        <w:gridCol w:w="1349"/>
      </w:tblGrid>
      <w:tr w:rsidR="003F6D20" w:rsidRPr="00EE335B" w14:paraId="5DD1C357" w14:textId="77777777" w:rsidTr="00EE33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1" w:type="dxa"/>
            <w:tcBorders>
              <w:top w:val="nil"/>
              <w:left w:val="nil"/>
              <w:bottom w:val="nil"/>
            </w:tcBorders>
          </w:tcPr>
          <w:p w14:paraId="4DAB31BB" w14:textId="77777777" w:rsidR="003F6D20" w:rsidRPr="00EE335B" w:rsidRDefault="003F6D20" w:rsidP="00B5133B">
            <w:pPr>
              <w:keepNext/>
              <w:keepLines/>
              <w:rPr>
                <w:rFonts w:cs="Times New Roman"/>
                <w:b w:val="0"/>
                <w:sz w:val="14"/>
              </w:rPr>
            </w:pPr>
          </w:p>
        </w:tc>
        <w:tc>
          <w:tcPr>
            <w:tcW w:w="1348" w:type="dxa"/>
            <w:tcBorders>
              <w:top w:val="nil"/>
              <w:bottom w:val="nil"/>
            </w:tcBorders>
          </w:tcPr>
          <w:p w14:paraId="3B9FC1E7" w14:textId="77777777" w:rsidR="003F6D20" w:rsidRPr="00EE335B" w:rsidRDefault="003F6D20" w:rsidP="00B5133B">
            <w:pPr>
              <w:pStyle w:val="NoSpacing"/>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2012-2013</w:t>
            </w:r>
          </w:p>
          <w:p w14:paraId="7ADE9521" w14:textId="77777777" w:rsidR="003F6D20" w:rsidRPr="00EE335B" w:rsidRDefault="003F6D20" w:rsidP="00B5133B">
            <w:pPr>
              <w:pStyle w:val="NoSpacing"/>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42,037)</w:t>
            </w:r>
          </w:p>
        </w:tc>
        <w:tc>
          <w:tcPr>
            <w:tcW w:w="1348" w:type="dxa"/>
            <w:tcBorders>
              <w:top w:val="nil"/>
              <w:bottom w:val="nil"/>
            </w:tcBorders>
          </w:tcPr>
          <w:p w14:paraId="480C0780" w14:textId="77777777" w:rsidR="003F6D20" w:rsidRPr="00EE335B" w:rsidRDefault="003F6D20" w:rsidP="00B5133B">
            <w:pPr>
              <w:pStyle w:val="NoSpacing"/>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2013-2014</w:t>
            </w:r>
          </w:p>
          <w:p w14:paraId="1088A4BA" w14:textId="77777777" w:rsidR="003F6D20" w:rsidRPr="00EE335B" w:rsidRDefault="003F6D20" w:rsidP="00B5133B">
            <w:pPr>
              <w:pStyle w:val="NoSpacing"/>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41,553)</w:t>
            </w:r>
          </w:p>
        </w:tc>
        <w:tc>
          <w:tcPr>
            <w:tcW w:w="1349" w:type="dxa"/>
            <w:tcBorders>
              <w:top w:val="nil"/>
              <w:bottom w:val="nil"/>
              <w:right w:val="nil"/>
            </w:tcBorders>
          </w:tcPr>
          <w:p w14:paraId="65242446" w14:textId="77777777" w:rsidR="003F6D20" w:rsidRPr="00EE335B" w:rsidRDefault="003F6D20" w:rsidP="00B5133B">
            <w:pPr>
              <w:pStyle w:val="NoSpacing"/>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2014-2015</w:t>
            </w:r>
          </w:p>
          <w:p w14:paraId="36906DD1" w14:textId="77777777" w:rsidR="003F6D20" w:rsidRPr="00EE335B" w:rsidRDefault="003F6D20" w:rsidP="00B5133B">
            <w:pPr>
              <w:pStyle w:val="NoSpacing"/>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42,756)</w:t>
            </w:r>
          </w:p>
        </w:tc>
      </w:tr>
      <w:tr w:rsidR="003F6D20" w:rsidRPr="00EE335B" w14:paraId="66B0173C" w14:textId="77777777" w:rsidTr="00EE33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1" w:type="dxa"/>
            <w:vMerge w:val="restart"/>
            <w:tcBorders>
              <w:top w:val="nil"/>
            </w:tcBorders>
            <w:shd w:val="clear" w:color="auto" w:fill="FFFFFF" w:themeFill="background1"/>
            <w:vAlign w:val="center"/>
          </w:tcPr>
          <w:p w14:paraId="533FC755" w14:textId="0A7AAEBC" w:rsidR="003F6D20" w:rsidRPr="00EE335B" w:rsidRDefault="003D4C4D" w:rsidP="00B5133B">
            <w:pPr>
              <w:keepNext/>
              <w:keepLines/>
              <w:rPr>
                <w:rFonts w:cs="Times New Roman"/>
                <w:b w:val="0"/>
                <w:color w:val="215868" w:themeColor="accent5" w:themeShade="80"/>
                <w:sz w:val="14"/>
              </w:rPr>
            </w:pPr>
            <w:r>
              <w:rPr>
                <w:rFonts w:cs="Times New Roman"/>
                <w:b w:val="0"/>
                <w:color w:val="215868" w:themeColor="accent5" w:themeShade="80"/>
                <w:sz w:val="14"/>
              </w:rPr>
              <w:t xml:space="preserve">Not a </w:t>
            </w:r>
            <w:r w:rsidR="003F6D20" w:rsidRPr="00EE335B">
              <w:rPr>
                <w:rFonts w:cs="Times New Roman"/>
                <w:b w:val="0"/>
                <w:color w:val="215868" w:themeColor="accent5" w:themeShade="80"/>
                <w:sz w:val="14"/>
              </w:rPr>
              <w:t>Veteran</w:t>
            </w:r>
          </w:p>
        </w:tc>
        <w:tc>
          <w:tcPr>
            <w:tcW w:w="1348" w:type="dxa"/>
            <w:tcBorders>
              <w:top w:val="nil"/>
              <w:bottom w:val="single" w:sz="4" w:space="0" w:color="FFFFFF" w:themeColor="background1"/>
            </w:tcBorders>
            <w:shd w:val="clear" w:color="auto" w:fill="FFFFFF" w:themeFill="background1"/>
            <w:vAlign w:val="center"/>
          </w:tcPr>
          <w:p w14:paraId="50CEE2D7" w14:textId="77777777" w:rsidR="003F6D20" w:rsidRPr="00EE335B" w:rsidRDefault="003F6D20" w:rsidP="00B5133B">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41,103</w:t>
            </w:r>
          </w:p>
        </w:tc>
        <w:tc>
          <w:tcPr>
            <w:tcW w:w="1348" w:type="dxa"/>
            <w:tcBorders>
              <w:top w:val="nil"/>
              <w:bottom w:val="single" w:sz="4" w:space="0" w:color="FFFFFF" w:themeColor="background1"/>
            </w:tcBorders>
            <w:shd w:val="clear" w:color="auto" w:fill="FFFFFF" w:themeFill="background1"/>
            <w:vAlign w:val="center"/>
          </w:tcPr>
          <w:p w14:paraId="2BE13F94" w14:textId="77777777" w:rsidR="003F6D20" w:rsidRPr="00EE335B" w:rsidRDefault="003F6D20" w:rsidP="00B5133B">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40,594</w:t>
            </w:r>
          </w:p>
        </w:tc>
        <w:tc>
          <w:tcPr>
            <w:tcW w:w="1349" w:type="dxa"/>
            <w:tcBorders>
              <w:top w:val="nil"/>
              <w:bottom w:val="single" w:sz="4" w:space="0" w:color="FFFFFF" w:themeColor="background1"/>
            </w:tcBorders>
            <w:shd w:val="clear" w:color="auto" w:fill="FFFFFF" w:themeFill="background1"/>
            <w:vAlign w:val="center"/>
          </w:tcPr>
          <w:p w14:paraId="7B50D2B3" w14:textId="77777777" w:rsidR="003F6D20" w:rsidRPr="00EE335B" w:rsidRDefault="003F6D20" w:rsidP="00B5133B">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41,782</w:t>
            </w:r>
          </w:p>
        </w:tc>
      </w:tr>
      <w:tr w:rsidR="003F6D20" w:rsidRPr="00EE335B" w14:paraId="03A7275B" w14:textId="77777777" w:rsidTr="00EE335B">
        <w:trPr>
          <w:jc w:val="center"/>
        </w:trPr>
        <w:tc>
          <w:tcPr>
            <w:cnfStyle w:val="001000000000" w:firstRow="0" w:lastRow="0" w:firstColumn="1" w:lastColumn="0" w:oddVBand="0" w:evenVBand="0" w:oddHBand="0" w:evenHBand="0" w:firstRowFirstColumn="0" w:firstRowLastColumn="0" w:lastRowFirstColumn="0" w:lastRowLastColumn="0"/>
            <w:tcW w:w="1261" w:type="dxa"/>
            <w:vMerge/>
            <w:tcBorders>
              <w:bottom w:val="single" w:sz="4" w:space="0" w:color="auto"/>
            </w:tcBorders>
            <w:shd w:val="clear" w:color="auto" w:fill="FFFFFF" w:themeFill="background1"/>
            <w:vAlign w:val="center"/>
          </w:tcPr>
          <w:p w14:paraId="0C783C88" w14:textId="77777777" w:rsidR="003F6D20" w:rsidRPr="00EE335B" w:rsidRDefault="003F6D20" w:rsidP="00B5133B">
            <w:pPr>
              <w:keepNext/>
              <w:keepLines/>
              <w:rPr>
                <w:rFonts w:cs="Times New Roman"/>
                <w:b w:val="0"/>
                <w:color w:val="215868" w:themeColor="accent5" w:themeShade="80"/>
                <w:sz w:val="14"/>
              </w:rPr>
            </w:pPr>
          </w:p>
        </w:tc>
        <w:tc>
          <w:tcPr>
            <w:tcW w:w="1348" w:type="dxa"/>
            <w:tcBorders>
              <w:top w:val="single" w:sz="4" w:space="0" w:color="FFFFFF" w:themeColor="background1"/>
              <w:bottom w:val="single" w:sz="4" w:space="0" w:color="auto"/>
            </w:tcBorders>
            <w:vAlign w:val="center"/>
          </w:tcPr>
          <w:p w14:paraId="7BB6D7D0" w14:textId="77777777" w:rsidR="003F6D20" w:rsidRPr="00EE335B" w:rsidRDefault="003F6D20" w:rsidP="00B5133B">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97.8%</w:t>
            </w:r>
          </w:p>
        </w:tc>
        <w:tc>
          <w:tcPr>
            <w:tcW w:w="1348" w:type="dxa"/>
            <w:tcBorders>
              <w:top w:val="single" w:sz="4" w:space="0" w:color="FFFFFF" w:themeColor="background1"/>
              <w:bottom w:val="single" w:sz="4" w:space="0" w:color="auto"/>
            </w:tcBorders>
            <w:vAlign w:val="center"/>
          </w:tcPr>
          <w:p w14:paraId="30823F6C" w14:textId="77777777" w:rsidR="003F6D20" w:rsidRPr="00EE335B" w:rsidRDefault="003F6D20" w:rsidP="00B5133B">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97.7%</w:t>
            </w:r>
          </w:p>
        </w:tc>
        <w:tc>
          <w:tcPr>
            <w:tcW w:w="1349" w:type="dxa"/>
            <w:tcBorders>
              <w:top w:val="single" w:sz="4" w:space="0" w:color="FFFFFF" w:themeColor="background1"/>
              <w:bottom w:val="single" w:sz="4" w:space="0" w:color="auto"/>
            </w:tcBorders>
            <w:vAlign w:val="center"/>
          </w:tcPr>
          <w:p w14:paraId="0FC7EBA1" w14:textId="77777777" w:rsidR="003F6D20" w:rsidRPr="00EE335B" w:rsidRDefault="003F6D20" w:rsidP="00B5133B">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97.7%</w:t>
            </w:r>
          </w:p>
        </w:tc>
      </w:tr>
      <w:tr w:rsidR="003F6D20" w:rsidRPr="00EE335B" w14:paraId="0D8B052D" w14:textId="77777777" w:rsidTr="00EE33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1" w:type="dxa"/>
            <w:vMerge w:val="restart"/>
            <w:tcBorders>
              <w:top w:val="single" w:sz="4" w:space="0" w:color="auto"/>
            </w:tcBorders>
            <w:shd w:val="clear" w:color="auto" w:fill="FFFFFF" w:themeFill="background1"/>
            <w:vAlign w:val="center"/>
          </w:tcPr>
          <w:p w14:paraId="3E9D7373" w14:textId="1A51C317" w:rsidR="003F6D20" w:rsidRPr="00EE335B" w:rsidRDefault="003D4C4D" w:rsidP="00B5133B">
            <w:pPr>
              <w:keepNext/>
              <w:keepLines/>
              <w:rPr>
                <w:rFonts w:cs="Times New Roman"/>
                <w:b w:val="0"/>
                <w:color w:val="215868" w:themeColor="accent5" w:themeShade="80"/>
                <w:sz w:val="14"/>
              </w:rPr>
            </w:pPr>
            <w:r>
              <w:rPr>
                <w:rFonts w:cs="Times New Roman"/>
                <w:b w:val="0"/>
                <w:color w:val="215868" w:themeColor="accent5" w:themeShade="80"/>
                <w:sz w:val="14"/>
              </w:rPr>
              <w:t>V</w:t>
            </w:r>
            <w:r w:rsidR="003F6D20" w:rsidRPr="00EE335B">
              <w:rPr>
                <w:rFonts w:cs="Times New Roman"/>
                <w:b w:val="0"/>
                <w:color w:val="215868" w:themeColor="accent5" w:themeShade="80"/>
                <w:sz w:val="14"/>
              </w:rPr>
              <w:t>eteran</w:t>
            </w:r>
          </w:p>
        </w:tc>
        <w:tc>
          <w:tcPr>
            <w:tcW w:w="1348" w:type="dxa"/>
            <w:tcBorders>
              <w:top w:val="single" w:sz="4" w:space="0" w:color="auto"/>
            </w:tcBorders>
            <w:shd w:val="clear" w:color="auto" w:fill="FFFFFF" w:themeFill="background1"/>
            <w:vAlign w:val="center"/>
          </w:tcPr>
          <w:p w14:paraId="3962CEC1" w14:textId="77777777" w:rsidR="003F6D20" w:rsidRPr="00EE335B" w:rsidRDefault="003F6D20" w:rsidP="00B5133B">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934</w:t>
            </w:r>
          </w:p>
        </w:tc>
        <w:tc>
          <w:tcPr>
            <w:tcW w:w="1348" w:type="dxa"/>
            <w:tcBorders>
              <w:top w:val="single" w:sz="4" w:space="0" w:color="auto"/>
            </w:tcBorders>
            <w:shd w:val="clear" w:color="auto" w:fill="FFFFFF" w:themeFill="background1"/>
            <w:vAlign w:val="center"/>
          </w:tcPr>
          <w:p w14:paraId="1EA2A2FF" w14:textId="77777777" w:rsidR="003F6D20" w:rsidRPr="00EE335B" w:rsidRDefault="003F6D20" w:rsidP="00B5133B">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959</w:t>
            </w:r>
          </w:p>
        </w:tc>
        <w:tc>
          <w:tcPr>
            <w:tcW w:w="1349" w:type="dxa"/>
            <w:tcBorders>
              <w:top w:val="single" w:sz="4" w:space="0" w:color="auto"/>
            </w:tcBorders>
            <w:shd w:val="clear" w:color="auto" w:fill="FFFFFF" w:themeFill="background1"/>
            <w:vAlign w:val="center"/>
          </w:tcPr>
          <w:p w14:paraId="6053E527" w14:textId="77777777" w:rsidR="003F6D20" w:rsidRPr="00EE335B" w:rsidRDefault="003F6D20" w:rsidP="00B5133B">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974</w:t>
            </w:r>
          </w:p>
        </w:tc>
      </w:tr>
      <w:tr w:rsidR="003F6D20" w:rsidRPr="00EE335B" w14:paraId="2928C332" w14:textId="77777777" w:rsidTr="00EE335B">
        <w:trPr>
          <w:jc w:val="center"/>
        </w:trPr>
        <w:tc>
          <w:tcPr>
            <w:cnfStyle w:val="001000000000" w:firstRow="0" w:lastRow="0" w:firstColumn="1" w:lastColumn="0" w:oddVBand="0" w:evenVBand="0" w:oddHBand="0" w:evenHBand="0" w:firstRowFirstColumn="0" w:firstRowLastColumn="0" w:lastRowFirstColumn="0" w:lastRowLastColumn="0"/>
            <w:tcW w:w="1261" w:type="dxa"/>
            <w:vMerge/>
            <w:shd w:val="clear" w:color="auto" w:fill="FFFFFF" w:themeFill="background1"/>
            <w:vAlign w:val="center"/>
          </w:tcPr>
          <w:p w14:paraId="29525A6D" w14:textId="77777777" w:rsidR="003F6D20" w:rsidRPr="00EE335B" w:rsidRDefault="003F6D20" w:rsidP="00B5133B">
            <w:pPr>
              <w:keepNext/>
              <w:keepLines/>
              <w:rPr>
                <w:rFonts w:cs="Times New Roman"/>
                <w:b w:val="0"/>
                <w:color w:val="215868" w:themeColor="accent5" w:themeShade="80"/>
                <w:sz w:val="14"/>
              </w:rPr>
            </w:pPr>
          </w:p>
        </w:tc>
        <w:tc>
          <w:tcPr>
            <w:tcW w:w="1348" w:type="dxa"/>
            <w:vAlign w:val="center"/>
          </w:tcPr>
          <w:p w14:paraId="5763E196" w14:textId="77777777" w:rsidR="003F6D20" w:rsidRPr="00EE335B" w:rsidRDefault="003F6D20" w:rsidP="00B5133B">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2.2%</w:t>
            </w:r>
          </w:p>
        </w:tc>
        <w:tc>
          <w:tcPr>
            <w:tcW w:w="1348" w:type="dxa"/>
            <w:vAlign w:val="center"/>
          </w:tcPr>
          <w:p w14:paraId="2DD2171A" w14:textId="77777777" w:rsidR="003F6D20" w:rsidRPr="00EE335B" w:rsidRDefault="003F6D20" w:rsidP="00B5133B">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2.3%</w:t>
            </w:r>
          </w:p>
        </w:tc>
        <w:tc>
          <w:tcPr>
            <w:tcW w:w="1349" w:type="dxa"/>
            <w:vAlign w:val="center"/>
          </w:tcPr>
          <w:p w14:paraId="6FCD1197" w14:textId="77777777" w:rsidR="003F6D20" w:rsidRPr="00EE335B" w:rsidRDefault="003F6D20" w:rsidP="00B5133B">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2.3%</w:t>
            </w:r>
          </w:p>
        </w:tc>
      </w:tr>
      <w:tr w:rsidR="003F6D20" w:rsidRPr="00EE335B" w14:paraId="57FD8632" w14:textId="77777777" w:rsidTr="00EE33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1" w:type="dxa"/>
            <w:tcBorders>
              <w:top w:val="single" w:sz="4" w:space="0" w:color="auto"/>
              <w:bottom w:val="single" w:sz="4" w:space="0" w:color="auto"/>
            </w:tcBorders>
            <w:shd w:val="clear" w:color="auto" w:fill="FFFFFF" w:themeFill="background1"/>
            <w:vAlign w:val="center"/>
          </w:tcPr>
          <w:p w14:paraId="1BD51A07" w14:textId="77777777" w:rsidR="003F6D20" w:rsidRPr="00EE335B" w:rsidRDefault="003F6D20" w:rsidP="00B5133B">
            <w:pPr>
              <w:keepNext/>
              <w:keepLines/>
              <w:rPr>
                <w:rFonts w:cs="Times New Roman"/>
                <w:b w:val="0"/>
                <w:color w:val="215868" w:themeColor="accent5" w:themeShade="80"/>
                <w:sz w:val="14"/>
              </w:rPr>
            </w:pPr>
            <w:r w:rsidRPr="00EE335B">
              <w:rPr>
                <w:rFonts w:cs="Times New Roman"/>
                <w:b w:val="0"/>
                <w:color w:val="215868" w:themeColor="accent5" w:themeShade="80"/>
                <w:sz w:val="14"/>
              </w:rPr>
              <w:t>Total</w:t>
            </w:r>
          </w:p>
        </w:tc>
        <w:tc>
          <w:tcPr>
            <w:tcW w:w="1348" w:type="dxa"/>
            <w:tcBorders>
              <w:top w:val="single" w:sz="4" w:space="0" w:color="auto"/>
              <w:bottom w:val="single" w:sz="4" w:space="0" w:color="auto"/>
            </w:tcBorders>
            <w:shd w:val="clear" w:color="auto" w:fill="FFFFFF" w:themeFill="background1"/>
            <w:vAlign w:val="center"/>
          </w:tcPr>
          <w:p w14:paraId="59542F3F" w14:textId="77777777" w:rsidR="003F6D20" w:rsidRPr="00EE335B" w:rsidRDefault="003F6D20" w:rsidP="00B5133B">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8" w:type="dxa"/>
            <w:tcBorders>
              <w:top w:val="single" w:sz="4" w:space="0" w:color="auto"/>
              <w:bottom w:val="single" w:sz="4" w:space="0" w:color="auto"/>
            </w:tcBorders>
            <w:shd w:val="clear" w:color="auto" w:fill="FFFFFF" w:themeFill="background1"/>
            <w:vAlign w:val="center"/>
          </w:tcPr>
          <w:p w14:paraId="0DA56047" w14:textId="77777777" w:rsidR="003F6D20" w:rsidRPr="00EE335B" w:rsidRDefault="003F6D20" w:rsidP="00B5133B">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9" w:type="dxa"/>
            <w:tcBorders>
              <w:top w:val="single" w:sz="4" w:space="0" w:color="auto"/>
              <w:bottom w:val="single" w:sz="4" w:space="0" w:color="auto"/>
            </w:tcBorders>
            <w:shd w:val="clear" w:color="auto" w:fill="FFFFFF" w:themeFill="background1"/>
            <w:vAlign w:val="center"/>
          </w:tcPr>
          <w:p w14:paraId="1C6B35D9" w14:textId="77777777" w:rsidR="003F6D20" w:rsidRPr="00EE335B" w:rsidRDefault="003F6D20" w:rsidP="00B5133B">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r>
    </w:tbl>
    <w:p w14:paraId="34120721" w14:textId="77777777" w:rsidR="003F6D20" w:rsidRPr="00EE335B" w:rsidRDefault="003F6D20" w:rsidP="00B5133B">
      <w:pPr>
        <w:keepNext/>
        <w:keepLines/>
        <w:rPr>
          <w:rFonts w:cs="Times New Roman"/>
          <w:sz w:val="20"/>
        </w:rPr>
      </w:pPr>
      <w:r w:rsidRPr="00EE335B">
        <w:rPr>
          <w:rFonts w:cs="Times New Roman"/>
          <w:i/>
          <w:sz w:val="14"/>
        </w:rPr>
        <w:t>Source: Management Information System (MIS); Students are identified as having being a veteran regardless of whether they choose to utilize the services of the College’s Veteran Center.</w:t>
      </w:r>
    </w:p>
    <w:p w14:paraId="7C493504" w14:textId="77777777" w:rsidR="003F6D20" w:rsidRPr="00EE335B" w:rsidRDefault="003F6D20" w:rsidP="003D4C4D">
      <w:pPr>
        <w:pStyle w:val="Heading3"/>
      </w:pPr>
      <w:r w:rsidRPr="00EE335B">
        <w:t>Background Information and Enrollment Patterns</w:t>
      </w:r>
    </w:p>
    <w:p w14:paraId="1F823B20" w14:textId="77777777" w:rsidR="003F6D20" w:rsidRPr="00EE335B" w:rsidRDefault="003F6D20" w:rsidP="003D4C4D">
      <w:pPr>
        <w:pStyle w:val="Heading4"/>
      </w:pPr>
      <w:r w:rsidRPr="00EE335B">
        <w:t>Full-Time/Part-Time Status</w:t>
      </w:r>
    </w:p>
    <w:p w14:paraId="62230B65" w14:textId="2E0E3303" w:rsidR="003F6D20" w:rsidRPr="00EE335B" w:rsidRDefault="003F6D20" w:rsidP="00B71792">
      <w:pPr>
        <w:pStyle w:val="Normalwithspacebetween"/>
      </w:pPr>
      <w:r w:rsidRPr="00EE335B">
        <w:t>The proportion of credit students enrolled full-time (12 or more credit units) has remained relatively stable over the last six years at around 35</w:t>
      </w:r>
      <w:r w:rsidR="00B5133B">
        <w:t xml:space="preserve"> percent</w:t>
      </w:r>
      <w:r w:rsidRPr="00EE335B">
        <w:t>. A large majority (approximately 65</w:t>
      </w:r>
      <w:r w:rsidR="00B5133B">
        <w:t xml:space="preserve"> percent</w:t>
      </w:r>
      <w:r w:rsidRPr="00EE335B">
        <w:t>) of credit students are enrolled on a part-time basis (attempting fewer than 12 units). Between 2009-2010 and 2014-2015, the average unit load among credit students increased by 0.22 units, from 8.58 to 8.80 units per student.</w:t>
      </w:r>
    </w:p>
    <w:p w14:paraId="75791A8C" w14:textId="77777777" w:rsidR="003F6D20" w:rsidRPr="00EE335B" w:rsidRDefault="003F6D20" w:rsidP="003F6D20">
      <w:pPr>
        <w:pStyle w:val="NoSpacing"/>
        <w:rPr>
          <w:rFonts w:ascii="Times New Roman" w:hAnsi="Times New Roman" w:cs="Times New Roman"/>
        </w:rPr>
      </w:pPr>
    </w:p>
    <w:p w14:paraId="41FC6C8A" w14:textId="77777777" w:rsidR="003F6D20" w:rsidRPr="00EE335B" w:rsidRDefault="003F6D20" w:rsidP="003F6D20">
      <w:pPr>
        <w:jc w:val="center"/>
        <w:rPr>
          <w:rFonts w:cs="Times New Roman"/>
          <w:sz w:val="20"/>
        </w:rPr>
      </w:pPr>
      <w:r w:rsidRPr="00EE335B">
        <w:rPr>
          <w:rFonts w:cs="Times New Roman"/>
          <w:sz w:val="20"/>
        </w:rPr>
        <w:t>Full-Time / Part-time Status, 2009-2010 to 2014-2015</w:t>
      </w:r>
    </w:p>
    <w:tbl>
      <w:tblPr>
        <w:tblStyle w:val="GridTable5Dark-Accent51"/>
        <w:tblW w:w="0" w:type="auto"/>
        <w:jc w:val="center"/>
        <w:tblLook w:val="04A0" w:firstRow="1" w:lastRow="0" w:firstColumn="1" w:lastColumn="0" w:noHBand="0" w:noVBand="1"/>
      </w:tblPr>
      <w:tblGrid>
        <w:gridCol w:w="1245"/>
        <w:gridCol w:w="1329"/>
        <w:gridCol w:w="1329"/>
        <w:gridCol w:w="1328"/>
        <w:gridCol w:w="1328"/>
        <w:gridCol w:w="1328"/>
        <w:gridCol w:w="1329"/>
      </w:tblGrid>
      <w:tr w:rsidR="003F6D20" w:rsidRPr="00EE335B" w14:paraId="2F840219" w14:textId="77777777" w:rsidTr="00EE335B">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256" w:type="dxa"/>
            <w:tcBorders>
              <w:top w:val="nil"/>
              <w:left w:val="nil"/>
              <w:bottom w:val="nil"/>
            </w:tcBorders>
          </w:tcPr>
          <w:p w14:paraId="0BDCB165" w14:textId="77777777" w:rsidR="003F6D20" w:rsidRPr="00EE335B" w:rsidRDefault="003F6D20" w:rsidP="00EE335B">
            <w:pPr>
              <w:rPr>
                <w:rFonts w:cs="Times New Roman"/>
                <w:b w:val="0"/>
                <w:sz w:val="16"/>
              </w:rPr>
            </w:pPr>
          </w:p>
        </w:tc>
        <w:tc>
          <w:tcPr>
            <w:tcW w:w="1343" w:type="dxa"/>
            <w:tcBorders>
              <w:top w:val="nil"/>
              <w:bottom w:val="nil"/>
            </w:tcBorders>
          </w:tcPr>
          <w:p w14:paraId="2C8E1934"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2009-2010</w:t>
            </w:r>
          </w:p>
          <w:p w14:paraId="6269AB7E"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63,143)</w:t>
            </w:r>
          </w:p>
        </w:tc>
        <w:tc>
          <w:tcPr>
            <w:tcW w:w="1343" w:type="dxa"/>
            <w:tcBorders>
              <w:top w:val="nil"/>
              <w:bottom w:val="nil"/>
            </w:tcBorders>
          </w:tcPr>
          <w:p w14:paraId="0AE4E52E"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2010-2011</w:t>
            </w:r>
          </w:p>
          <w:p w14:paraId="0A38D87A"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61,391)</w:t>
            </w:r>
          </w:p>
        </w:tc>
        <w:tc>
          <w:tcPr>
            <w:tcW w:w="1343" w:type="dxa"/>
            <w:tcBorders>
              <w:top w:val="nil"/>
              <w:bottom w:val="nil"/>
            </w:tcBorders>
          </w:tcPr>
          <w:p w14:paraId="41D56DBA"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2011-2012</w:t>
            </w:r>
          </w:p>
          <w:p w14:paraId="33DF5542"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59,493)</w:t>
            </w:r>
          </w:p>
        </w:tc>
        <w:tc>
          <w:tcPr>
            <w:tcW w:w="1343" w:type="dxa"/>
            <w:tcBorders>
              <w:top w:val="nil"/>
              <w:bottom w:val="nil"/>
            </w:tcBorders>
          </w:tcPr>
          <w:p w14:paraId="19D692E8"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2012-2013</w:t>
            </w:r>
          </w:p>
          <w:p w14:paraId="57CE7E29"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59,563)</w:t>
            </w:r>
          </w:p>
        </w:tc>
        <w:tc>
          <w:tcPr>
            <w:tcW w:w="1343" w:type="dxa"/>
            <w:tcBorders>
              <w:top w:val="nil"/>
              <w:bottom w:val="nil"/>
            </w:tcBorders>
          </w:tcPr>
          <w:p w14:paraId="27CAC75C"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2013-2014</w:t>
            </w:r>
          </w:p>
          <w:p w14:paraId="294ECD72"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59,339)</w:t>
            </w:r>
          </w:p>
        </w:tc>
        <w:tc>
          <w:tcPr>
            <w:tcW w:w="1344" w:type="dxa"/>
            <w:tcBorders>
              <w:top w:val="nil"/>
              <w:bottom w:val="nil"/>
              <w:right w:val="nil"/>
            </w:tcBorders>
          </w:tcPr>
          <w:p w14:paraId="4F2C4AA8"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2014-2015</w:t>
            </w:r>
          </w:p>
          <w:p w14:paraId="7138EA5E"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59,565)</w:t>
            </w:r>
          </w:p>
        </w:tc>
      </w:tr>
      <w:tr w:rsidR="003F6D20" w:rsidRPr="00EE335B" w14:paraId="05194ABC" w14:textId="77777777" w:rsidTr="00EE335B">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256" w:type="dxa"/>
            <w:tcBorders>
              <w:top w:val="nil"/>
            </w:tcBorders>
            <w:shd w:val="clear" w:color="auto" w:fill="FFFFFF" w:themeFill="background1"/>
            <w:vAlign w:val="center"/>
          </w:tcPr>
          <w:p w14:paraId="76514CEC" w14:textId="77777777" w:rsidR="003F6D20" w:rsidRPr="00EE335B" w:rsidRDefault="003F6D20" w:rsidP="00EE335B">
            <w:pPr>
              <w:pStyle w:val="NoSpacing"/>
              <w:rPr>
                <w:rFonts w:ascii="Times New Roman" w:hAnsi="Times New Roman" w:cs="Times New Roman"/>
                <w:b w:val="0"/>
                <w:color w:val="auto"/>
                <w:sz w:val="14"/>
              </w:rPr>
            </w:pPr>
            <w:r w:rsidRPr="00EE335B">
              <w:rPr>
                <w:rFonts w:ascii="Times New Roman" w:hAnsi="Times New Roman" w:cs="Times New Roman"/>
                <w:b w:val="0"/>
                <w:color w:val="auto"/>
                <w:sz w:val="14"/>
              </w:rPr>
              <w:t xml:space="preserve">Part-time </w:t>
            </w:r>
          </w:p>
        </w:tc>
        <w:tc>
          <w:tcPr>
            <w:tcW w:w="1343" w:type="dxa"/>
            <w:tcBorders>
              <w:top w:val="nil"/>
            </w:tcBorders>
            <w:shd w:val="clear" w:color="auto" w:fill="FFFFFF" w:themeFill="background1"/>
            <w:vAlign w:val="center"/>
          </w:tcPr>
          <w:p w14:paraId="280103C1"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65.4%</w:t>
            </w:r>
          </w:p>
        </w:tc>
        <w:tc>
          <w:tcPr>
            <w:tcW w:w="1343" w:type="dxa"/>
            <w:tcBorders>
              <w:top w:val="nil"/>
            </w:tcBorders>
            <w:shd w:val="clear" w:color="auto" w:fill="FFFFFF" w:themeFill="background1"/>
            <w:vAlign w:val="center"/>
          </w:tcPr>
          <w:p w14:paraId="49F9CD11"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64.5%</w:t>
            </w:r>
          </w:p>
        </w:tc>
        <w:tc>
          <w:tcPr>
            <w:tcW w:w="1343" w:type="dxa"/>
            <w:tcBorders>
              <w:top w:val="nil"/>
            </w:tcBorders>
            <w:shd w:val="clear" w:color="auto" w:fill="FFFFFF" w:themeFill="background1"/>
            <w:vAlign w:val="center"/>
          </w:tcPr>
          <w:p w14:paraId="0F3CE9BC"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63.6%</w:t>
            </w:r>
          </w:p>
        </w:tc>
        <w:tc>
          <w:tcPr>
            <w:tcW w:w="1343" w:type="dxa"/>
            <w:tcBorders>
              <w:top w:val="nil"/>
            </w:tcBorders>
            <w:shd w:val="clear" w:color="auto" w:fill="FFFFFF" w:themeFill="background1"/>
            <w:vAlign w:val="center"/>
          </w:tcPr>
          <w:p w14:paraId="2EDF7BA2"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65.7%</w:t>
            </w:r>
          </w:p>
        </w:tc>
        <w:tc>
          <w:tcPr>
            <w:tcW w:w="1343" w:type="dxa"/>
            <w:tcBorders>
              <w:top w:val="nil"/>
            </w:tcBorders>
            <w:shd w:val="clear" w:color="auto" w:fill="FFFFFF" w:themeFill="background1"/>
            <w:vAlign w:val="center"/>
          </w:tcPr>
          <w:p w14:paraId="4E96C161"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65.0%</w:t>
            </w:r>
          </w:p>
        </w:tc>
        <w:tc>
          <w:tcPr>
            <w:tcW w:w="1344" w:type="dxa"/>
            <w:tcBorders>
              <w:top w:val="nil"/>
            </w:tcBorders>
            <w:shd w:val="clear" w:color="auto" w:fill="FFFFFF" w:themeFill="background1"/>
            <w:vAlign w:val="center"/>
          </w:tcPr>
          <w:p w14:paraId="088583AD"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64.9%</w:t>
            </w:r>
          </w:p>
        </w:tc>
      </w:tr>
      <w:tr w:rsidR="003F6D20" w:rsidRPr="00EE335B" w14:paraId="509FA6DF" w14:textId="77777777" w:rsidTr="00EE335B">
        <w:trPr>
          <w:trHeight w:val="275"/>
          <w:jc w:val="center"/>
        </w:trPr>
        <w:tc>
          <w:tcPr>
            <w:cnfStyle w:val="001000000000" w:firstRow="0" w:lastRow="0" w:firstColumn="1" w:lastColumn="0" w:oddVBand="0" w:evenVBand="0" w:oddHBand="0" w:evenHBand="0" w:firstRowFirstColumn="0" w:firstRowLastColumn="0" w:lastRowFirstColumn="0" w:lastRowLastColumn="0"/>
            <w:tcW w:w="1256" w:type="dxa"/>
            <w:shd w:val="clear" w:color="auto" w:fill="DAEEF3" w:themeFill="accent5" w:themeFillTint="33"/>
            <w:vAlign w:val="center"/>
          </w:tcPr>
          <w:p w14:paraId="3654BB54" w14:textId="77777777" w:rsidR="003F6D20" w:rsidRPr="00EE335B" w:rsidRDefault="003F6D20" w:rsidP="00EE335B">
            <w:pPr>
              <w:pStyle w:val="NoSpacing"/>
              <w:rPr>
                <w:rFonts w:ascii="Times New Roman" w:hAnsi="Times New Roman" w:cs="Times New Roman"/>
                <w:b w:val="0"/>
                <w:color w:val="auto"/>
                <w:sz w:val="14"/>
              </w:rPr>
            </w:pPr>
            <w:r w:rsidRPr="00EE335B">
              <w:rPr>
                <w:rFonts w:ascii="Times New Roman" w:hAnsi="Times New Roman" w:cs="Times New Roman"/>
                <w:b w:val="0"/>
                <w:color w:val="auto"/>
                <w:sz w:val="14"/>
              </w:rPr>
              <w:t>Full-time</w:t>
            </w:r>
          </w:p>
        </w:tc>
        <w:tc>
          <w:tcPr>
            <w:tcW w:w="1343" w:type="dxa"/>
            <w:vAlign w:val="center"/>
          </w:tcPr>
          <w:p w14:paraId="6BA365B9"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34.6%</w:t>
            </w:r>
          </w:p>
        </w:tc>
        <w:tc>
          <w:tcPr>
            <w:tcW w:w="1343" w:type="dxa"/>
            <w:vAlign w:val="center"/>
          </w:tcPr>
          <w:p w14:paraId="76824CBC"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35.5%</w:t>
            </w:r>
          </w:p>
        </w:tc>
        <w:tc>
          <w:tcPr>
            <w:tcW w:w="1343" w:type="dxa"/>
            <w:vAlign w:val="center"/>
          </w:tcPr>
          <w:p w14:paraId="7FC6C31A"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36.4%</w:t>
            </w:r>
          </w:p>
        </w:tc>
        <w:tc>
          <w:tcPr>
            <w:tcW w:w="1343" w:type="dxa"/>
            <w:vAlign w:val="center"/>
          </w:tcPr>
          <w:p w14:paraId="0737B190"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34.3%</w:t>
            </w:r>
          </w:p>
        </w:tc>
        <w:tc>
          <w:tcPr>
            <w:tcW w:w="1343" w:type="dxa"/>
            <w:vAlign w:val="center"/>
          </w:tcPr>
          <w:p w14:paraId="7EA39130"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35.0%</w:t>
            </w:r>
          </w:p>
        </w:tc>
        <w:tc>
          <w:tcPr>
            <w:tcW w:w="1344" w:type="dxa"/>
            <w:vAlign w:val="center"/>
          </w:tcPr>
          <w:p w14:paraId="6405E143"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35.1%</w:t>
            </w:r>
          </w:p>
        </w:tc>
      </w:tr>
      <w:tr w:rsidR="003F6D20" w:rsidRPr="00EE335B" w14:paraId="29030ADD" w14:textId="77777777" w:rsidTr="00EE335B">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256" w:type="dxa"/>
            <w:tcBorders>
              <w:top w:val="single" w:sz="4" w:space="0" w:color="auto"/>
              <w:bottom w:val="nil"/>
            </w:tcBorders>
            <w:shd w:val="clear" w:color="auto" w:fill="FFFFFF" w:themeFill="background1"/>
            <w:vAlign w:val="center"/>
          </w:tcPr>
          <w:p w14:paraId="17D1A98F" w14:textId="77777777" w:rsidR="003F6D20" w:rsidRPr="00EE335B" w:rsidRDefault="003F6D20" w:rsidP="00EE335B">
            <w:pPr>
              <w:rPr>
                <w:rFonts w:cs="Times New Roman"/>
                <w:b w:val="0"/>
                <w:color w:val="215868" w:themeColor="accent5" w:themeShade="80"/>
                <w:sz w:val="14"/>
              </w:rPr>
            </w:pPr>
            <w:r w:rsidRPr="00EE335B">
              <w:rPr>
                <w:rFonts w:cs="Times New Roman"/>
                <w:b w:val="0"/>
                <w:color w:val="215868" w:themeColor="accent5" w:themeShade="80"/>
                <w:sz w:val="14"/>
              </w:rPr>
              <w:t>Total</w:t>
            </w:r>
          </w:p>
        </w:tc>
        <w:tc>
          <w:tcPr>
            <w:tcW w:w="1343" w:type="dxa"/>
            <w:tcBorders>
              <w:top w:val="single" w:sz="4" w:space="0" w:color="auto"/>
              <w:bottom w:val="nil"/>
            </w:tcBorders>
            <w:shd w:val="clear" w:color="auto" w:fill="FFFFFF" w:themeFill="background1"/>
            <w:vAlign w:val="center"/>
          </w:tcPr>
          <w:p w14:paraId="61627FAE"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3" w:type="dxa"/>
            <w:tcBorders>
              <w:top w:val="single" w:sz="4" w:space="0" w:color="auto"/>
              <w:bottom w:val="nil"/>
            </w:tcBorders>
            <w:shd w:val="clear" w:color="auto" w:fill="FFFFFF" w:themeFill="background1"/>
            <w:vAlign w:val="center"/>
          </w:tcPr>
          <w:p w14:paraId="1AC920E9"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3" w:type="dxa"/>
            <w:tcBorders>
              <w:top w:val="single" w:sz="4" w:space="0" w:color="auto"/>
              <w:bottom w:val="nil"/>
            </w:tcBorders>
            <w:shd w:val="clear" w:color="auto" w:fill="FFFFFF" w:themeFill="background1"/>
            <w:vAlign w:val="center"/>
          </w:tcPr>
          <w:p w14:paraId="3100574C"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3" w:type="dxa"/>
            <w:tcBorders>
              <w:top w:val="single" w:sz="4" w:space="0" w:color="auto"/>
              <w:bottom w:val="nil"/>
            </w:tcBorders>
            <w:shd w:val="clear" w:color="auto" w:fill="FFFFFF" w:themeFill="background1"/>
            <w:vAlign w:val="center"/>
          </w:tcPr>
          <w:p w14:paraId="7521D17A"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3" w:type="dxa"/>
            <w:tcBorders>
              <w:top w:val="single" w:sz="4" w:space="0" w:color="auto"/>
              <w:bottom w:val="nil"/>
            </w:tcBorders>
            <w:shd w:val="clear" w:color="auto" w:fill="FFFFFF" w:themeFill="background1"/>
            <w:vAlign w:val="center"/>
          </w:tcPr>
          <w:p w14:paraId="2D6E317A"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4" w:type="dxa"/>
            <w:tcBorders>
              <w:top w:val="single" w:sz="4" w:space="0" w:color="auto"/>
              <w:bottom w:val="nil"/>
            </w:tcBorders>
            <w:shd w:val="clear" w:color="auto" w:fill="FFFFFF" w:themeFill="background1"/>
            <w:vAlign w:val="center"/>
          </w:tcPr>
          <w:p w14:paraId="776CEE68"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r>
      <w:tr w:rsidR="003F6D20" w:rsidRPr="00EE335B" w14:paraId="1D08FCC2" w14:textId="77777777" w:rsidTr="00EE335B">
        <w:trPr>
          <w:trHeight w:val="216"/>
          <w:jc w:val="center"/>
        </w:trPr>
        <w:tc>
          <w:tcPr>
            <w:cnfStyle w:val="001000000000" w:firstRow="0" w:lastRow="0" w:firstColumn="1" w:lastColumn="0" w:oddVBand="0" w:evenVBand="0" w:oddHBand="0" w:evenHBand="0" w:firstRowFirstColumn="0" w:firstRowLastColumn="0" w:lastRowFirstColumn="0" w:lastRowLastColumn="0"/>
            <w:tcW w:w="1256" w:type="dxa"/>
            <w:tcBorders>
              <w:top w:val="nil"/>
              <w:left w:val="nil"/>
              <w:bottom w:val="nil"/>
              <w:right w:val="nil"/>
            </w:tcBorders>
            <w:shd w:val="clear" w:color="auto" w:fill="215868" w:themeFill="accent5" w:themeFillShade="80"/>
            <w:vAlign w:val="center"/>
          </w:tcPr>
          <w:p w14:paraId="74C47628" w14:textId="77777777" w:rsidR="003F6D20" w:rsidRPr="00EE335B" w:rsidRDefault="003F6D20" w:rsidP="00EE335B">
            <w:pPr>
              <w:rPr>
                <w:rFonts w:cs="Times New Roman"/>
                <w:b w:val="0"/>
                <w:sz w:val="14"/>
              </w:rPr>
            </w:pPr>
            <w:r w:rsidRPr="00EE335B">
              <w:rPr>
                <w:rFonts w:cs="Times New Roman"/>
                <w:b w:val="0"/>
                <w:sz w:val="14"/>
              </w:rPr>
              <w:t>Average Unit Load</w:t>
            </w:r>
          </w:p>
        </w:tc>
        <w:tc>
          <w:tcPr>
            <w:tcW w:w="1343" w:type="dxa"/>
            <w:tcBorders>
              <w:top w:val="nil"/>
              <w:left w:val="nil"/>
              <w:bottom w:val="nil"/>
              <w:right w:val="nil"/>
            </w:tcBorders>
            <w:shd w:val="clear" w:color="auto" w:fill="215868" w:themeFill="accent5" w:themeFillShade="80"/>
            <w:vAlign w:val="center"/>
          </w:tcPr>
          <w:p w14:paraId="2FF5CD60"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4"/>
              </w:rPr>
            </w:pPr>
            <w:r w:rsidRPr="00EE335B">
              <w:rPr>
                <w:rFonts w:ascii="Times New Roman" w:hAnsi="Times New Roman" w:cs="Times New Roman"/>
                <w:color w:val="FFFFFF" w:themeColor="background1"/>
                <w:sz w:val="14"/>
              </w:rPr>
              <w:t>8.58</w:t>
            </w:r>
          </w:p>
        </w:tc>
        <w:tc>
          <w:tcPr>
            <w:tcW w:w="1343" w:type="dxa"/>
            <w:tcBorders>
              <w:top w:val="nil"/>
              <w:left w:val="nil"/>
              <w:bottom w:val="nil"/>
              <w:right w:val="nil"/>
            </w:tcBorders>
            <w:shd w:val="clear" w:color="auto" w:fill="215868" w:themeFill="accent5" w:themeFillShade="80"/>
            <w:vAlign w:val="center"/>
          </w:tcPr>
          <w:p w14:paraId="03D4A4A2"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4"/>
              </w:rPr>
            </w:pPr>
            <w:r w:rsidRPr="00EE335B">
              <w:rPr>
                <w:rFonts w:ascii="Times New Roman" w:hAnsi="Times New Roman" w:cs="Times New Roman"/>
                <w:color w:val="FFFFFF" w:themeColor="background1"/>
                <w:sz w:val="14"/>
              </w:rPr>
              <w:t>8.75</w:t>
            </w:r>
          </w:p>
        </w:tc>
        <w:tc>
          <w:tcPr>
            <w:tcW w:w="1343" w:type="dxa"/>
            <w:tcBorders>
              <w:top w:val="nil"/>
              <w:left w:val="nil"/>
              <w:bottom w:val="nil"/>
              <w:right w:val="nil"/>
            </w:tcBorders>
            <w:shd w:val="clear" w:color="auto" w:fill="215868" w:themeFill="accent5" w:themeFillShade="80"/>
            <w:vAlign w:val="center"/>
          </w:tcPr>
          <w:p w14:paraId="0FBC9CA4"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4"/>
              </w:rPr>
            </w:pPr>
            <w:r w:rsidRPr="00EE335B">
              <w:rPr>
                <w:rFonts w:ascii="Times New Roman" w:hAnsi="Times New Roman" w:cs="Times New Roman"/>
                <w:color w:val="FFFFFF" w:themeColor="background1"/>
                <w:sz w:val="14"/>
              </w:rPr>
              <w:t>8.90</w:t>
            </w:r>
          </w:p>
        </w:tc>
        <w:tc>
          <w:tcPr>
            <w:tcW w:w="1343" w:type="dxa"/>
            <w:tcBorders>
              <w:top w:val="nil"/>
              <w:left w:val="nil"/>
              <w:bottom w:val="nil"/>
              <w:right w:val="nil"/>
            </w:tcBorders>
            <w:shd w:val="clear" w:color="auto" w:fill="215868" w:themeFill="accent5" w:themeFillShade="80"/>
            <w:vAlign w:val="center"/>
          </w:tcPr>
          <w:p w14:paraId="51D2057C"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4"/>
              </w:rPr>
            </w:pPr>
            <w:r w:rsidRPr="00EE335B">
              <w:rPr>
                <w:rFonts w:ascii="Times New Roman" w:hAnsi="Times New Roman" w:cs="Times New Roman"/>
                <w:color w:val="FFFFFF" w:themeColor="background1"/>
                <w:sz w:val="14"/>
              </w:rPr>
              <w:t>8.79</w:t>
            </w:r>
          </w:p>
        </w:tc>
        <w:tc>
          <w:tcPr>
            <w:tcW w:w="1343" w:type="dxa"/>
            <w:tcBorders>
              <w:top w:val="nil"/>
              <w:left w:val="nil"/>
              <w:bottom w:val="nil"/>
              <w:right w:val="nil"/>
            </w:tcBorders>
            <w:shd w:val="clear" w:color="auto" w:fill="215868" w:themeFill="accent5" w:themeFillShade="80"/>
            <w:vAlign w:val="center"/>
          </w:tcPr>
          <w:p w14:paraId="012951F3"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4"/>
              </w:rPr>
            </w:pPr>
            <w:r w:rsidRPr="00EE335B">
              <w:rPr>
                <w:rFonts w:ascii="Times New Roman" w:hAnsi="Times New Roman" w:cs="Times New Roman"/>
                <w:color w:val="FFFFFF" w:themeColor="background1"/>
                <w:sz w:val="14"/>
              </w:rPr>
              <w:t>8.89</w:t>
            </w:r>
          </w:p>
        </w:tc>
        <w:tc>
          <w:tcPr>
            <w:tcW w:w="1344" w:type="dxa"/>
            <w:tcBorders>
              <w:top w:val="nil"/>
              <w:left w:val="nil"/>
              <w:bottom w:val="nil"/>
              <w:right w:val="nil"/>
            </w:tcBorders>
            <w:shd w:val="clear" w:color="auto" w:fill="215868" w:themeFill="accent5" w:themeFillShade="80"/>
            <w:vAlign w:val="center"/>
          </w:tcPr>
          <w:p w14:paraId="293979F9"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4"/>
              </w:rPr>
            </w:pPr>
            <w:r w:rsidRPr="00EE335B">
              <w:rPr>
                <w:rFonts w:ascii="Times New Roman" w:hAnsi="Times New Roman" w:cs="Times New Roman"/>
                <w:color w:val="FFFFFF" w:themeColor="background1"/>
                <w:sz w:val="14"/>
              </w:rPr>
              <w:t>8.80</w:t>
            </w:r>
          </w:p>
        </w:tc>
      </w:tr>
    </w:tbl>
    <w:p w14:paraId="7CD55F66" w14:textId="77777777" w:rsidR="003F6D20" w:rsidRPr="00EE335B" w:rsidRDefault="003F6D20" w:rsidP="003F6D20">
      <w:pPr>
        <w:rPr>
          <w:rFonts w:cs="Times New Roman"/>
          <w:sz w:val="20"/>
        </w:rPr>
      </w:pPr>
      <w:r w:rsidRPr="00EE335B">
        <w:rPr>
          <w:rFonts w:cs="Times New Roman"/>
          <w:i/>
          <w:sz w:val="14"/>
        </w:rPr>
        <w:t>Source: Management Information System (MIS); Only fall and spring semester in the academic year were included in the analyses; Multiple observations of the same student within both fall and spring terms of an academic year are counted as independent observations. Therefore, the size of the observed population (N) does not reflect the unique student headcount for each academic year.</w:t>
      </w:r>
    </w:p>
    <w:p w14:paraId="684B929B" w14:textId="77777777" w:rsidR="003F6D20" w:rsidRPr="00EE335B" w:rsidRDefault="003F6D20" w:rsidP="003D4C4D">
      <w:pPr>
        <w:pStyle w:val="Heading4"/>
      </w:pPr>
      <w:r w:rsidRPr="00EE335B">
        <w:lastRenderedPageBreak/>
        <w:t>Enrollment Status</w:t>
      </w:r>
    </w:p>
    <w:p w14:paraId="36443706" w14:textId="4C2D77A4" w:rsidR="003F6D20" w:rsidRPr="00EE335B" w:rsidRDefault="003F6D20" w:rsidP="00B71792">
      <w:pPr>
        <w:pStyle w:val="Normalwithspacebetween"/>
      </w:pPr>
      <w:r w:rsidRPr="00EE335B">
        <w:t>Over the last six years, the proportion of the credit student population who were continuing students (enrolled in the previous regular session) increased by 8.3</w:t>
      </w:r>
      <w:r w:rsidR="00B5133B">
        <w:t xml:space="preserve"> percent</w:t>
      </w:r>
      <w:r w:rsidRPr="00EE335B">
        <w:t xml:space="preserve"> (from 36.3</w:t>
      </w:r>
      <w:r w:rsidR="00B5133B">
        <w:t xml:space="preserve"> percent</w:t>
      </w:r>
      <w:r w:rsidRPr="00EE335B">
        <w:t xml:space="preserve"> in 2009-2010 to 44.6</w:t>
      </w:r>
      <w:r w:rsidR="00B5133B">
        <w:t xml:space="preserve"> percent</w:t>
      </w:r>
      <w:r w:rsidRPr="00EE335B">
        <w:t xml:space="preserve"> in 2014-2015). At the same time, the proportion of students who were first-time transfers decreased by 5.6</w:t>
      </w:r>
      <w:r w:rsidR="00B5133B">
        <w:t xml:space="preserve"> percent</w:t>
      </w:r>
      <w:r w:rsidRPr="00EE335B">
        <w:t xml:space="preserve"> (from 24.2</w:t>
      </w:r>
      <w:r w:rsidR="00B5133B">
        <w:t xml:space="preserve"> percent</w:t>
      </w:r>
      <w:r w:rsidRPr="00EE335B">
        <w:t xml:space="preserve"> in 2009-2010 to 18.6</w:t>
      </w:r>
      <w:r w:rsidR="00B5133B">
        <w:t xml:space="preserve"> percent</w:t>
      </w:r>
      <w:r w:rsidRPr="00EE335B">
        <w:t xml:space="preserve"> in 2014-2015).</w:t>
      </w:r>
    </w:p>
    <w:p w14:paraId="71FFBE8A" w14:textId="77777777" w:rsidR="003F6D20" w:rsidRPr="00EE335B" w:rsidRDefault="003F6D20" w:rsidP="003F6D20">
      <w:pPr>
        <w:jc w:val="center"/>
        <w:rPr>
          <w:rFonts w:cs="Times New Roman"/>
          <w:i/>
          <w:sz w:val="20"/>
        </w:rPr>
      </w:pPr>
      <w:r w:rsidRPr="00EE335B">
        <w:rPr>
          <w:rFonts w:cs="Times New Roman"/>
          <w:noProof/>
          <w:sz w:val="20"/>
        </w:rPr>
        <w:drawing>
          <wp:inline distT="0" distB="0" distL="0" distR="0" wp14:anchorId="3651B089" wp14:editId="5E958380">
            <wp:extent cx="5172075" cy="2647950"/>
            <wp:effectExtent l="0" t="0" r="9525"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Style w:val="GridTable5Dark-Accent51"/>
        <w:tblW w:w="0" w:type="auto"/>
        <w:jc w:val="center"/>
        <w:tblLook w:val="04A0" w:firstRow="1" w:lastRow="0" w:firstColumn="1" w:lastColumn="0" w:noHBand="0" w:noVBand="1"/>
      </w:tblPr>
      <w:tblGrid>
        <w:gridCol w:w="1252"/>
        <w:gridCol w:w="1328"/>
        <w:gridCol w:w="1327"/>
        <w:gridCol w:w="1327"/>
        <w:gridCol w:w="1327"/>
        <w:gridCol w:w="1327"/>
        <w:gridCol w:w="1328"/>
      </w:tblGrid>
      <w:tr w:rsidR="003F6D20" w:rsidRPr="00EE335B" w14:paraId="6FB03A18" w14:textId="77777777" w:rsidTr="00AB59D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61" w:type="dxa"/>
            <w:tcBorders>
              <w:top w:val="nil"/>
              <w:left w:val="nil"/>
              <w:bottom w:val="nil"/>
            </w:tcBorders>
          </w:tcPr>
          <w:p w14:paraId="7B3D9A68" w14:textId="77777777" w:rsidR="003F6D20" w:rsidRPr="00EE335B" w:rsidRDefault="003F6D20" w:rsidP="00EE335B">
            <w:pPr>
              <w:rPr>
                <w:rFonts w:cs="Times New Roman"/>
                <w:b w:val="0"/>
                <w:sz w:val="16"/>
              </w:rPr>
            </w:pPr>
          </w:p>
        </w:tc>
        <w:tc>
          <w:tcPr>
            <w:tcW w:w="1348" w:type="dxa"/>
            <w:tcBorders>
              <w:top w:val="nil"/>
              <w:bottom w:val="nil"/>
            </w:tcBorders>
          </w:tcPr>
          <w:p w14:paraId="055985BD"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2009-2010</w:t>
            </w:r>
          </w:p>
          <w:p w14:paraId="566C642C"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49,704)</w:t>
            </w:r>
          </w:p>
        </w:tc>
        <w:tc>
          <w:tcPr>
            <w:tcW w:w="1348" w:type="dxa"/>
            <w:tcBorders>
              <w:top w:val="nil"/>
              <w:bottom w:val="nil"/>
            </w:tcBorders>
          </w:tcPr>
          <w:p w14:paraId="174BD4E3"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2010-2011</w:t>
            </w:r>
          </w:p>
          <w:p w14:paraId="5332C754"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46,591)</w:t>
            </w:r>
          </w:p>
        </w:tc>
        <w:tc>
          <w:tcPr>
            <w:tcW w:w="1348" w:type="dxa"/>
            <w:tcBorders>
              <w:top w:val="nil"/>
              <w:bottom w:val="nil"/>
            </w:tcBorders>
          </w:tcPr>
          <w:p w14:paraId="5E15CA90"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2011-2012</w:t>
            </w:r>
          </w:p>
          <w:p w14:paraId="0508E97B"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42,775)</w:t>
            </w:r>
          </w:p>
        </w:tc>
        <w:tc>
          <w:tcPr>
            <w:tcW w:w="1348" w:type="dxa"/>
            <w:tcBorders>
              <w:top w:val="nil"/>
              <w:bottom w:val="nil"/>
            </w:tcBorders>
          </w:tcPr>
          <w:p w14:paraId="41F1CE21"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2012-2013</w:t>
            </w:r>
          </w:p>
          <w:p w14:paraId="747D9589"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42,037)</w:t>
            </w:r>
          </w:p>
        </w:tc>
        <w:tc>
          <w:tcPr>
            <w:tcW w:w="1348" w:type="dxa"/>
            <w:tcBorders>
              <w:top w:val="nil"/>
              <w:bottom w:val="nil"/>
            </w:tcBorders>
          </w:tcPr>
          <w:p w14:paraId="10DEA8E6"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2013-2014</w:t>
            </w:r>
          </w:p>
          <w:p w14:paraId="49024A68"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41,553)</w:t>
            </w:r>
          </w:p>
        </w:tc>
        <w:tc>
          <w:tcPr>
            <w:tcW w:w="1349" w:type="dxa"/>
            <w:tcBorders>
              <w:top w:val="nil"/>
              <w:bottom w:val="nil"/>
              <w:right w:val="nil"/>
            </w:tcBorders>
          </w:tcPr>
          <w:p w14:paraId="77ED633A"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2014-2015</w:t>
            </w:r>
          </w:p>
          <w:p w14:paraId="6904940A"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42,756)</w:t>
            </w:r>
          </w:p>
        </w:tc>
      </w:tr>
      <w:tr w:rsidR="003F6D20" w:rsidRPr="00EE335B" w14:paraId="15E94B50" w14:textId="77777777" w:rsidTr="00AB59D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61" w:type="dxa"/>
            <w:tcBorders>
              <w:top w:val="nil"/>
            </w:tcBorders>
            <w:shd w:val="clear" w:color="auto" w:fill="FFFFFF" w:themeFill="background1"/>
            <w:vAlign w:val="center"/>
          </w:tcPr>
          <w:p w14:paraId="56B18B3A" w14:textId="77777777" w:rsidR="003F6D20" w:rsidRPr="00EE335B" w:rsidRDefault="003F6D20" w:rsidP="00EE335B">
            <w:pPr>
              <w:pStyle w:val="NoSpacing"/>
              <w:rPr>
                <w:rFonts w:ascii="Times New Roman" w:hAnsi="Times New Roman" w:cs="Times New Roman"/>
                <w:b w:val="0"/>
                <w:color w:val="auto"/>
                <w:sz w:val="14"/>
              </w:rPr>
            </w:pPr>
            <w:r w:rsidRPr="00EE335B">
              <w:rPr>
                <w:rFonts w:ascii="Times New Roman" w:hAnsi="Times New Roman" w:cs="Times New Roman"/>
                <w:b w:val="0"/>
                <w:color w:val="auto"/>
                <w:sz w:val="14"/>
              </w:rPr>
              <w:t>First-time Freshmen</w:t>
            </w:r>
          </w:p>
        </w:tc>
        <w:tc>
          <w:tcPr>
            <w:tcW w:w="1348" w:type="dxa"/>
            <w:tcBorders>
              <w:top w:val="nil"/>
            </w:tcBorders>
            <w:shd w:val="clear" w:color="auto" w:fill="FFFFFF" w:themeFill="background1"/>
            <w:vAlign w:val="center"/>
          </w:tcPr>
          <w:p w14:paraId="7437081C"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18.9%</w:t>
            </w:r>
          </w:p>
        </w:tc>
        <w:tc>
          <w:tcPr>
            <w:tcW w:w="1348" w:type="dxa"/>
            <w:tcBorders>
              <w:top w:val="nil"/>
            </w:tcBorders>
            <w:shd w:val="clear" w:color="auto" w:fill="FFFFFF" w:themeFill="background1"/>
            <w:vAlign w:val="center"/>
          </w:tcPr>
          <w:p w14:paraId="7E3F046B"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18.9%</w:t>
            </w:r>
          </w:p>
        </w:tc>
        <w:tc>
          <w:tcPr>
            <w:tcW w:w="1348" w:type="dxa"/>
            <w:tcBorders>
              <w:top w:val="nil"/>
            </w:tcBorders>
            <w:shd w:val="clear" w:color="auto" w:fill="FFFFFF" w:themeFill="background1"/>
            <w:vAlign w:val="center"/>
          </w:tcPr>
          <w:p w14:paraId="52996C97"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19.5%</w:t>
            </w:r>
          </w:p>
        </w:tc>
        <w:tc>
          <w:tcPr>
            <w:tcW w:w="1348" w:type="dxa"/>
            <w:tcBorders>
              <w:top w:val="nil"/>
            </w:tcBorders>
            <w:shd w:val="clear" w:color="auto" w:fill="FFFFFF" w:themeFill="background1"/>
            <w:vAlign w:val="center"/>
          </w:tcPr>
          <w:p w14:paraId="62E7B019"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18.5%</w:t>
            </w:r>
          </w:p>
        </w:tc>
        <w:tc>
          <w:tcPr>
            <w:tcW w:w="1348" w:type="dxa"/>
            <w:tcBorders>
              <w:top w:val="nil"/>
            </w:tcBorders>
            <w:shd w:val="clear" w:color="auto" w:fill="FFFFFF" w:themeFill="background1"/>
            <w:vAlign w:val="center"/>
          </w:tcPr>
          <w:p w14:paraId="6D5BA7B7"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18.7%</w:t>
            </w:r>
          </w:p>
        </w:tc>
        <w:tc>
          <w:tcPr>
            <w:tcW w:w="1349" w:type="dxa"/>
            <w:tcBorders>
              <w:top w:val="nil"/>
            </w:tcBorders>
            <w:shd w:val="clear" w:color="auto" w:fill="FFFFFF" w:themeFill="background1"/>
            <w:vAlign w:val="center"/>
          </w:tcPr>
          <w:p w14:paraId="703E0240"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18.0%</w:t>
            </w:r>
          </w:p>
        </w:tc>
      </w:tr>
      <w:tr w:rsidR="003F6D20" w:rsidRPr="00EE335B" w14:paraId="64F36E55" w14:textId="77777777" w:rsidTr="00AB59D5">
        <w:trPr>
          <w:trHeight w:val="288"/>
          <w:jc w:val="center"/>
        </w:trPr>
        <w:tc>
          <w:tcPr>
            <w:cnfStyle w:val="001000000000" w:firstRow="0" w:lastRow="0" w:firstColumn="1" w:lastColumn="0" w:oddVBand="0" w:evenVBand="0" w:oddHBand="0" w:evenHBand="0" w:firstRowFirstColumn="0" w:firstRowLastColumn="0" w:lastRowFirstColumn="0" w:lastRowLastColumn="0"/>
            <w:tcW w:w="1261" w:type="dxa"/>
            <w:shd w:val="clear" w:color="auto" w:fill="DAEEF3" w:themeFill="accent5" w:themeFillTint="33"/>
            <w:vAlign w:val="center"/>
          </w:tcPr>
          <w:p w14:paraId="31FAEB7E" w14:textId="77777777" w:rsidR="003F6D20" w:rsidRPr="00EE335B" w:rsidRDefault="003F6D20" w:rsidP="00EE335B">
            <w:pPr>
              <w:pStyle w:val="NoSpacing"/>
              <w:rPr>
                <w:rFonts w:ascii="Times New Roman" w:hAnsi="Times New Roman" w:cs="Times New Roman"/>
                <w:b w:val="0"/>
                <w:color w:val="auto"/>
                <w:sz w:val="14"/>
              </w:rPr>
            </w:pPr>
            <w:r w:rsidRPr="00EE335B">
              <w:rPr>
                <w:rFonts w:ascii="Times New Roman" w:hAnsi="Times New Roman" w:cs="Times New Roman"/>
                <w:b w:val="0"/>
                <w:color w:val="auto"/>
                <w:sz w:val="14"/>
              </w:rPr>
              <w:t>First-time Transfer</w:t>
            </w:r>
          </w:p>
        </w:tc>
        <w:tc>
          <w:tcPr>
            <w:tcW w:w="1348" w:type="dxa"/>
            <w:vAlign w:val="center"/>
          </w:tcPr>
          <w:p w14:paraId="022919CB"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24.2%</w:t>
            </w:r>
          </w:p>
        </w:tc>
        <w:tc>
          <w:tcPr>
            <w:tcW w:w="1348" w:type="dxa"/>
            <w:vAlign w:val="center"/>
          </w:tcPr>
          <w:p w14:paraId="7DCF2C20"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20.9%</w:t>
            </w:r>
          </w:p>
        </w:tc>
        <w:tc>
          <w:tcPr>
            <w:tcW w:w="1348" w:type="dxa"/>
            <w:vAlign w:val="center"/>
          </w:tcPr>
          <w:p w14:paraId="0FDCCE5A"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18.5%</w:t>
            </w:r>
          </w:p>
        </w:tc>
        <w:tc>
          <w:tcPr>
            <w:tcW w:w="1348" w:type="dxa"/>
            <w:vAlign w:val="center"/>
          </w:tcPr>
          <w:p w14:paraId="24E50D84"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18.0%</w:t>
            </w:r>
          </w:p>
        </w:tc>
        <w:tc>
          <w:tcPr>
            <w:tcW w:w="1348" w:type="dxa"/>
            <w:vAlign w:val="center"/>
          </w:tcPr>
          <w:p w14:paraId="02444AFD"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17.6%</w:t>
            </w:r>
          </w:p>
        </w:tc>
        <w:tc>
          <w:tcPr>
            <w:tcW w:w="1349" w:type="dxa"/>
            <w:vAlign w:val="center"/>
          </w:tcPr>
          <w:p w14:paraId="10FD6AB5"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18.6%</w:t>
            </w:r>
          </w:p>
        </w:tc>
      </w:tr>
      <w:tr w:rsidR="003F6D20" w:rsidRPr="00EE335B" w14:paraId="6A298C78" w14:textId="77777777" w:rsidTr="00AB59D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61" w:type="dxa"/>
            <w:shd w:val="clear" w:color="auto" w:fill="FFFFFF" w:themeFill="background1"/>
            <w:vAlign w:val="center"/>
          </w:tcPr>
          <w:p w14:paraId="69DC95C8" w14:textId="77777777" w:rsidR="003F6D20" w:rsidRPr="00EE335B" w:rsidRDefault="003F6D20" w:rsidP="00EE335B">
            <w:pPr>
              <w:pStyle w:val="NoSpacing"/>
              <w:rPr>
                <w:rFonts w:ascii="Times New Roman" w:hAnsi="Times New Roman" w:cs="Times New Roman"/>
                <w:b w:val="0"/>
                <w:color w:val="auto"/>
                <w:sz w:val="14"/>
              </w:rPr>
            </w:pPr>
            <w:r w:rsidRPr="00EE335B">
              <w:rPr>
                <w:rFonts w:ascii="Times New Roman" w:hAnsi="Times New Roman" w:cs="Times New Roman"/>
                <w:b w:val="0"/>
                <w:color w:val="auto"/>
                <w:sz w:val="14"/>
              </w:rPr>
              <w:t>Returning</w:t>
            </w:r>
          </w:p>
        </w:tc>
        <w:tc>
          <w:tcPr>
            <w:tcW w:w="1348" w:type="dxa"/>
            <w:shd w:val="clear" w:color="auto" w:fill="FFFFFF" w:themeFill="background1"/>
            <w:vAlign w:val="center"/>
          </w:tcPr>
          <w:p w14:paraId="4E6B10DE"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17.8%</w:t>
            </w:r>
          </w:p>
        </w:tc>
        <w:tc>
          <w:tcPr>
            <w:tcW w:w="1348" w:type="dxa"/>
            <w:shd w:val="clear" w:color="auto" w:fill="FFFFFF" w:themeFill="background1"/>
            <w:vAlign w:val="center"/>
          </w:tcPr>
          <w:p w14:paraId="7C72EE1C"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17.7%</w:t>
            </w:r>
          </w:p>
        </w:tc>
        <w:tc>
          <w:tcPr>
            <w:tcW w:w="1348" w:type="dxa"/>
            <w:shd w:val="clear" w:color="auto" w:fill="FFFFFF" w:themeFill="background1"/>
            <w:vAlign w:val="center"/>
          </w:tcPr>
          <w:p w14:paraId="6025A3BA"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17.5%</w:t>
            </w:r>
          </w:p>
        </w:tc>
        <w:tc>
          <w:tcPr>
            <w:tcW w:w="1348" w:type="dxa"/>
            <w:shd w:val="clear" w:color="auto" w:fill="FFFFFF" w:themeFill="background1"/>
            <w:vAlign w:val="center"/>
          </w:tcPr>
          <w:p w14:paraId="1F0704A4"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16.7%</w:t>
            </w:r>
          </w:p>
        </w:tc>
        <w:tc>
          <w:tcPr>
            <w:tcW w:w="1348" w:type="dxa"/>
            <w:shd w:val="clear" w:color="auto" w:fill="FFFFFF" w:themeFill="background1"/>
            <w:vAlign w:val="center"/>
          </w:tcPr>
          <w:p w14:paraId="6B49DAE5"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16.6%</w:t>
            </w:r>
          </w:p>
        </w:tc>
        <w:tc>
          <w:tcPr>
            <w:tcW w:w="1349" w:type="dxa"/>
            <w:shd w:val="clear" w:color="auto" w:fill="FFFFFF" w:themeFill="background1"/>
            <w:vAlign w:val="center"/>
          </w:tcPr>
          <w:p w14:paraId="0B5F82CC"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16.5%</w:t>
            </w:r>
          </w:p>
        </w:tc>
      </w:tr>
      <w:tr w:rsidR="003F6D20" w:rsidRPr="00EE335B" w14:paraId="195AF6FD" w14:textId="77777777" w:rsidTr="00AB59D5">
        <w:trPr>
          <w:trHeight w:val="288"/>
          <w:jc w:val="center"/>
        </w:trPr>
        <w:tc>
          <w:tcPr>
            <w:cnfStyle w:val="001000000000" w:firstRow="0" w:lastRow="0" w:firstColumn="1" w:lastColumn="0" w:oddVBand="0" w:evenVBand="0" w:oddHBand="0" w:evenHBand="0" w:firstRowFirstColumn="0" w:firstRowLastColumn="0" w:lastRowFirstColumn="0" w:lastRowLastColumn="0"/>
            <w:tcW w:w="1261" w:type="dxa"/>
            <w:shd w:val="clear" w:color="auto" w:fill="DAEEF3" w:themeFill="accent5" w:themeFillTint="33"/>
            <w:vAlign w:val="center"/>
          </w:tcPr>
          <w:p w14:paraId="56FED8EB" w14:textId="77777777" w:rsidR="003F6D20" w:rsidRPr="00EE335B" w:rsidRDefault="003F6D20" w:rsidP="00EE335B">
            <w:pPr>
              <w:pStyle w:val="NoSpacing"/>
              <w:rPr>
                <w:rFonts w:ascii="Times New Roman" w:hAnsi="Times New Roman" w:cs="Times New Roman"/>
                <w:b w:val="0"/>
                <w:color w:val="auto"/>
                <w:sz w:val="14"/>
              </w:rPr>
            </w:pPr>
            <w:r w:rsidRPr="00EE335B">
              <w:rPr>
                <w:rFonts w:ascii="Times New Roman" w:hAnsi="Times New Roman" w:cs="Times New Roman"/>
                <w:b w:val="0"/>
                <w:color w:val="auto"/>
                <w:sz w:val="14"/>
              </w:rPr>
              <w:t>Continuing</w:t>
            </w:r>
          </w:p>
        </w:tc>
        <w:tc>
          <w:tcPr>
            <w:tcW w:w="1348" w:type="dxa"/>
            <w:vAlign w:val="center"/>
          </w:tcPr>
          <w:p w14:paraId="09D49CD8"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36.3%</w:t>
            </w:r>
          </w:p>
        </w:tc>
        <w:tc>
          <w:tcPr>
            <w:tcW w:w="1348" w:type="dxa"/>
            <w:vAlign w:val="center"/>
          </w:tcPr>
          <w:p w14:paraId="3C91CC68"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40.4%</w:t>
            </w:r>
          </w:p>
        </w:tc>
        <w:tc>
          <w:tcPr>
            <w:tcW w:w="1348" w:type="dxa"/>
            <w:vAlign w:val="center"/>
          </w:tcPr>
          <w:p w14:paraId="405B85A0"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43.1%</w:t>
            </w:r>
          </w:p>
        </w:tc>
        <w:tc>
          <w:tcPr>
            <w:tcW w:w="1348" w:type="dxa"/>
            <w:vAlign w:val="center"/>
          </w:tcPr>
          <w:p w14:paraId="12222EC8"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45.5%</w:t>
            </w:r>
          </w:p>
        </w:tc>
        <w:tc>
          <w:tcPr>
            <w:tcW w:w="1348" w:type="dxa"/>
            <w:vAlign w:val="center"/>
          </w:tcPr>
          <w:p w14:paraId="44697876"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45.5%</w:t>
            </w:r>
          </w:p>
        </w:tc>
        <w:tc>
          <w:tcPr>
            <w:tcW w:w="1349" w:type="dxa"/>
            <w:vAlign w:val="center"/>
          </w:tcPr>
          <w:p w14:paraId="1D3F1D7D"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44.6%</w:t>
            </w:r>
          </w:p>
        </w:tc>
      </w:tr>
      <w:tr w:rsidR="003F6D20" w:rsidRPr="00EE335B" w14:paraId="27F86C9D" w14:textId="77777777" w:rsidTr="00AB59D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61" w:type="dxa"/>
            <w:shd w:val="clear" w:color="auto" w:fill="FFFFFF" w:themeFill="background1"/>
            <w:vAlign w:val="center"/>
          </w:tcPr>
          <w:p w14:paraId="51C212B0" w14:textId="77777777" w:rsidR="003F6D20" w:rsidRPr="00EE335B" w:rsidRDefault="003F6D20" w:rsidP="00EE335B">
            <w:pPr>
              <w:pStyle w:val="NoSpacing"/>
              <w:rPr>
                <w:rFonts w:ascii="Times New Roman" w:hAnsi="Times New Roman" w:cs="Times New Roman"/>
                <w:b w:val="0"/>
                <w:color w:val="auto"/>
                <w:sz w:val="14"/>
              </w:rPr>
            </w:pPr>
            <w:r w:rsidRPr="00EE335B">
              <w:rPr>
                <w:rFonts w:ascii="Times New Roman" w:hAnsi="Times New Roman" w:cs="Times New Roman"/>
                <w:b w:val="0"/>
                <w:color w:val="auto"/>
                <w:sz w:val="14"/>
              </w:rPr>
              <w:t>Special Admit/Other</w:t>
            </w:r>
          </w:p>
        </w:tc>
        <w:tc>
          <w:tcPr>
            <w:tcW w:w="1348" w:type="dxa"/>
            <w:shd w:val="clear" w:color="auto" w:fill="FFFFFF" w:themeFill="background1"/>
            <w:vAlign w:val="center"/>
          </w:tcPr>
          <w:p w14:paraId="1D53CE6B"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2.8%</w:t>
            </w:r>
          </w:p>
        </w:tc>
        <w:tc>
          <w:tcPr>
            <w:tcW w:w="1348" w:type="dxa"/>
            <w:shd w:val="clear" w:color="auto" w:fill="FFFFFF" w:themeFill="background1"/>
            <w:vAlign w:val="center"/>
          </w:tcPr>
          <w:p w14:paraId="3322A89A"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2.1%</w:t>
            </w:r>
          </w:p>
        </w:tc>
        <w:tc>
          <w:tcPr>
            <w:tcW w:w="1348" w:type="dxa"/>
            <w:shd w:val="clear" w:color="auto" w:fill="FFFFFF" w:themeFill="background1"/>
            <w:vAlign w:val="center"/>
          </w:tcPr>
          <w:p w14:paraId="53AAEB98"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1.4%</w:t>
            </w:r>
          </w:p>
        </w:tc>
        <w:tc>
          <w:tcPr>
            <w:tcW w:w="1348" w:type="dxa"/>
            <w:shd w:val="clear" w:color="auto" w:fill="FFFFFF" w:themeFill="background1"/>
            <w:vAlign w:val="center"/>
          </w:tcPr>
          <w:p w14:paraId="5F1D0347"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1.3%</w:t>
            </w:r>
          </w:p>
        </w:tc>
        <w:tc>
          <w:tcPr>
            <w:tcW w:w="1348" w:type="dxa"/>
            <w:shd w:val="clear" w:color="auto" w:fill="FFFFFF" w:themeFill="background1"/>
            <w:vAlign w:val="center"/>
          </w:tcPr>
          <w:p w14:paraId="7713AB8F"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1.6%</w:t>
            </w:r>
          </w:p>
        </w:tc>
        <w:tc>
          <w:tcPr>
            <w:tcW w:w="1349" w:type="dxa"/>
            <w:shd w:val="clear" w:color="auto" w:fill="FFFFFF" w:themeFill="background1"/>
            <w:vAlign w:val="center"/>
          </w:tcPr>
          <w:p w14:paraId="48A974F3"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2.3%</w:t>
            </w:r>
          </w:p>
        </w:tc>
      </w:tr>
      <w:tr w:rsidR="003F6D20" w:rsidRPr="00EE335B" w14:paraId="2972229F" w14:textId="77777777" w:rsidTr="00AB59D5">
        <w:trPr>
          <w:trHeight w:val="288"/>
          <w:jc w:val="center"/>
        </w:trPr>
        <w:tc>
          <w:tcPr>
            <w:cnfStyle w:val="001000000000" w:firstRow="0" w:lastRow="0" w:firstColumn="1" w:lastColumn="0" w:oddVBand="0" w:evenVBand="0" w:oddHBand="0" w:evenHBand="0" w:firstRowFirstColumn="0" w:firstRowLastColumn="0" w:lastRowFirstColumn="0" w:lastRowLastColumn="0"/>
            <w:tcW w:w="1261" w:type="dxa"/>
            <w:tcBorders>
              <w:top w:val="single" w:sz="4" w:space="0" w:color="auto"/>
              <w:bottom w:val="single" w:sz="4" w:space="0" w:color="auto"/>
            </w:tcBorders>
            <w:shd w:val="clear" w:color="auto" w:fill="FFFFFF" w:themeFill="background1"/>
            <w:vAlign w:val="center"/>
          </w:tcPr>
          <w:p w14:paraId="006B90D1" w14:textId="77777777" w:rsidR="003F6D20" w:rsidRPr="00EE335B" w:rsidRDefault="003F6D20" w:rsidP="00EE335B">
            <w:pPr>
              <w:rPr>
                <w:rFonts w:cs="Times New Roman"/>
                <w:b w:val="0"/>
                <w:color w:val="215868" w:themeColor="accent5" w:themeShade="80"/>
                <w:sz w:val="14"/>
              </w:rPr>
            </w:pPr>
            <w:r w:rsidRPr="00EE335B">
              <w:rPr>
                <w:rFonts w:cs="Times New Roman"/>
                <w:b w:val="0"/>
                <w:color w:val="215868" w:themeColor="accent5" w:themeShade="80"/>
                <w:sz w:val="14"/>
              </w:rPr>
              <w:t>Total</w:t>
            </w:r>
          </w:p>
        </w:tc>
        <w:tc>
          <w:tcPr>
            <w:tcW w:w="1348" w:type="dxa"/>
            <w:tcBorders>
              <w:top w:val="single" w:sz="4" w:space="0" w:color="auto"/>
              <w:bottom w:val="single" w:sz="4" w:space="0" w:color="auto"/>
            </w:tcBorders>
            <w:shd w:val="clear" w:color="auto" w:fill="FFFFFF" w:themeFill="background1"/>
            <w:vAlign w:val="center"/>
          </w:tcPr>
          <w:p w14:paraId="399F43DE"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8" w:type="dxa"/>
            <w:tcBorders>
              <w:top w:val="single" w:sz="4" w:space="0" w:color="auto"/>
              <w:bottom w:val="single" w:sz="4" w:space="0" w:color="auto"/>
            </w:tcBorders>
            <w:shd w:val="clear" w:color="auto" w:fill="FFFFFF" w:themeFill="background1"/>
            <w:vAlign w:val="center"/>
          </w:tcPr>
          <w:p w14:paraId="2DFB805B"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8" w:type="dxa"/>
            <w:tcBorders>
              <w:top w:val="single" w:sz="4" w:space="0" w:color="auto"/>
              <w:bottom w:val="single" w:sz="4" w:space="0" w:color="auto"/>
            </w:tcBorders>
            <w:shd w:val="clear" w:color="auto" w:fill="FFFFFF" w:themeFill="background1"/>
            <w:vAlign w:val="center"/>
          </w:tcPr>
          <w:p w14:paraId="2477E6CC"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8" w:type="dxa"/>
            <w:tcBorders>
              <w:top w:val="single" w:sz="4" w:space="0" w:color="auto"/>
              <w:bottom w:val="single" w:sz="4" w:space="0" w:color="auto"/>
            </w:tcBorders>
            <w:shd w:val="clear" w:color="auto" w:fill="FFFFFF" w:themeFill="background1"/>
            <w:vAlign w:val="center"/>
          </w:tcPr>
          <w:p w14:paraId="26DDDB61"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8" w:type="dxa"/>
            <w:tcBorders>
              <w:top w:val="single" w:sz="4" w:space="0" w:color="auto"/>
              <w:bottom w:val="single" w:sz="4" w:space="0" w:color="auto"/>
            </w:tcBorders>
            <w:shd w:val="clear" w:color="auto" w:fill="FFFFFF" w:themeFill="background1"/>
            <w:vAlign w:val="center"/>
          </w:tcPr>
          <w:p w14:paraId="2835E5B7"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9" w:type="dxa"/>
            <w:tcBorders>
              <w:top w:val="single" w:sz="4" w:space="0" w:color="auto"/>
              <w:bottom w:val="single" w:sz="4" w:space="0" w:color="auto"/>
            </w:tcBorders>
            <w:shd w:val="clear" w:color="auto" w:fill="FFFFFF" w:themeFill="background1"/>
            <w:vAlign w:val="center"/>
          </w:tcPr>
          <w:p w14:paraId="36BA7047"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r>
    </w:tbl>
    <w:p w14:paraId="1AA6E489" w14:textId="77777777" w:rsidR="003F6D20" w:rsidRDefault="003F6D20" w:rsidP="003F6D20">
      <w:pPr>
        <w:rPr>
          <w:rFonts w:cs="Times New Roman"/>
          <w:i/>
          <w:sz w:val="14"/>
        </w:rPr>
      </w:pPr>
      <w:r w:rsidRPr="00EE335B">
        <w:rPr>
          <w:rFonts w:cs="Times New Roman"/>
          <w:i/>
          <w:sz w:val="14"/>
        </w:rPr>
        <w:t>Source: Management Information System (MIS); Students are assigned enrollment status based on their first enrollment within an academic year</w:t>
      </w:r>
    </w:p>
    <w:p w14:paraId="353B7629" w14:textId="77777777" w:rsidR="001C65FC" w:rsidRPr="00EE335B" w:rsidRDefault="001C65FC" w:rsidP="003F6D20">
      <w:pPr>
        <w:rPr>
          <w:rFonts w:cs="Times New Roman"/>
          <w:sz w:val="20"/>
        </w:rPr>
      </w:pPr>
    </w:p>
    <w:p w14:paraId="2EBC1221" w14:textId="77777777" w:rsidR="003F6D20" w:rsidRPr="00EE335B" w:rsidRDefault="003F6D20" w:rsidP="003D4C4D">
      <w:pPr>
        <w:pStyle w:val="Heading4"/>
      </w:pPr>
      <w:r w:rsidRPr="00EE335B">
        <w:t>Last High School Attended</w:t>
      </w:r>
    </w:p>
    <w:p w14:paraId="0010420D" w14:textId="1A556710" w:rsidR="003F6D20" w:rsidRPr="00EE335B" w:rsidRDefault="003F6D20" w:rsidP="001C65FC">
      <w:pPr>
        <w:pStyle w:val="Normalwithspacebetween"/>
      </w:pPr>
      <w:r w:rsidRPr="00EE335B">
        <w:t xml:space="preserve">Santa Monica College directly serves the needs of the district area. However, the data reveal that a large majority of </w:t>
      </w:r>
      <w:r w:rsidR="001C0BCD">
        <w:t>the College’s</w:t>
      </w:r>
      <w:r w:rsidRPr="00EE335B">
        <w:t xml:space="preserve"> students last attended a high school outside of the district high schools (Santa Monica Malibu Unified School District or SMMUNSD). In 2014-2015, 5</w:t>
      </w:r>
      <w:r w:rsidR="00B5133B">
        <w:t xml:space="preserve"> percent</w:t>
      </w:r>
      <w:r w:rsidRPr="00EE335B">
        <w:t xml:space="preserve"> of credit students were from a high school in the SMMUSD, a decrease of 0.5</w:t>
      </w:r>
      <w:r w:rsidR="00B5133B">
        <w:t xml:space="preserve"> percent</w:t>
      </w:r>
      <w:r w:rsidRPr="00EE335B">
        <w:t xml:space="preserve"> when compared to 2009-2010. About 47</w:t>
      </w:r>
      <w:r w:rsidR="00B5133B">
        <w:t xml:space="preserve"> percent</w:t>
      </w:r>
      <w:r w:rsidRPr="00EE335B">
        <w:t xml:space="preserve"> of students came from California high schools outside of the district and nearly one-third reported last attending a high school in a different state. The proportion of students who last attended high school in a foreign country increased by 1</w:t>
      </w:r>
      <w:r w:rsidR="00B5133B">
        <w:t xml:space="preserve"> percent</w:t>
      </w:r>
      <w:r w:rsidRPr="00EE335B">
        <w:t xml:space="preserve"> from 15.8</w:t>
      </w:r>
      <w:r w:rsidR="00B5133B">
        <w:t xml:space="preserve"> percent</w:t>
      </w:r>
      <w:r w:rsidRPr="00EE335B">
        <w:t xml:space="preserve"> in 2009-2010 to 16.8</w:t>
      </w:r>
      <w:r w:rsidR="00B5133B">
        <w:t xml:space="preserve"> percent</w:t>
      </w:r>
      <w:r w:rsidRPr="00EE335B">
        <w:t xml:space="preserve"> in 2014-2015.</w:t>
      </w:r>
    </w:p>
    <w:p w14:paraId="0AC299D5" w14:textId="77777777" w:rsidR="003F6D20" w:rsidRPr="00EE335B" w:rsidRDefault="003F6D20" w:rsidP="00C20BA0">
      <w:pPr>
        <w:pStyle w:val="NoSpacing"/>
        <w:keepNext/>
        <w:keepLines/>
        <w:rPr>
          <w:rFonts w:ascii="Times New Roman" w:hAnsi="Times New Roman" w:cs="Times New Roman"/>
        </w:rPr>
      </w:pPr>
    </w:p>
    <w:p w14:paraId="66944131" w14:textId="77777777" w:rsidR="003F6D20" w:rsidRPr="00EE335B" w:rsidRDefault="003F6D20" w:rsidP="00C20BA0">
      <w:pPr>
        <w:keepNext/>
        <w:keepLines/>
        <w:jc w:val="center"/>
        <w:rPr>
          <w:rFonts w:cs="Times New Roman"/>
          <w:sz w:val="20"/>
        </w:rPr>
      </w:pPr>
      <w:r w:rsidRPr="00EE335B">
        <w:rPr>
          <w:rFonts w:cs="Times New Roman"/>
          <w:sz w:val="20"/>
        </w:rPr>
        <w:t>Last High School Attended, 2009-2010 to 2014-2015</w:t>
      </w:r>
    </w:p>
    <w:tbl>
      <w:tblPr>
        <w:tblStyle w:val="GridTable5Dark-Accent51"/>
        <w:tblW w:w="0" w:type="auto"/>
        <w:jc w:val="center"/>
        <w:tblLook w:val="04A0" w:firstRow="1" w:lastRow="0" w:firstColumn="1" w:lastColumn="0" w:noHBand="0" w:noVBand="1"/>
      </w:tblPr>
      <w:tblGrid>
        <w:gridCol w:w="1247"/>
        <w:gridCol w:w="1328"/>
        <w:gridCol w:w="1328"/>
        <w:gridCol w:w="1328"/>
        <w:gridCol w:w="1328"/>
        <w:gridCol w:w="1328"/>
        <w:gridCol w:w="1329"/>
      </w:tblGrid>
      <w:tr w:rsidR="003F6D20" w:rsidRPr="00EE335B" w14:paraId="06FCE1DA" w14:textId="77777777" w:rsidTr="00EE335B">
        <w:trPr>
          <w:cnfStyle w:val="100000000000" w:firstRow="1" w:lastRow="0" w:firstColumn="0" w:lastColumn="0" w:oddVBand="0" w:evenVBand="0" w:oddHBand="0"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259" w:type="dxa"/>
            <w:tcBorders>
              <w:top w:val="nil"/>
              <w:left w:val="nil"/>
              <w:bottom w:val="nil"/>
            </w:tcBorders>
          </w:tcPr>
          <w:p w14:paraId="6095E0DD" w14:textId="77777777" w:rsidR="003F6D20" w:rsidRPr="00EE335B" w:rsidRDefault="003F6D20" w:rsidP="00C20BA0">
            <w:pPr>
              <w:keepNext/>
              <w:keepLines/>
              <w:rPr>
                <w:rFonts w:cs="Times New Roman"/>
                <w:b w:val="0"/>
                <w:sz w:val="16"/>
              </w:rPr>
            </w:pPr>
          </w:p>
        </w:tc>
        <w:tc>
          <w:tcPr>
            <w:tcW w:w="1346" w:type="dxa"/>
            <w:tcBorders>
              <w:top w:val="nil"/>
              <w:bottom w:val="nil"/>
            </w:tcBorders>
          </w:tcPr>
          <w:p w14:paraId="70E073C5" w14:textId="77777777" w:rsidR="003F6D20" w:rsidRPr="00EE335B" w:rsidRDefault="003F6D20" w:rsidP="00C20BA0">
            <w:pPr>
              <w:pStyle w:val="NoSpacing"/>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2009-2010</w:t>
            </w:r>
          </w:p>
          <w:p w14:paraId="6DC64593" w14:textId="77777777" w:rsidR="003F6D20" w:rsidRPr="00EE335B" w:rsidRDefault="003F6D20" w:rsidP="00C20BA0">
            <w:pPr>
              <w:pStyle w:val="NoSpacing"/>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49,704)</w:t>
            </w:r>
          </w:p>
        </w:tc>
        <w:tc>
          <w:tcPr>
            <w:tcW w:w="1346" w:type="dxa"/>
            <w:tcBorders>
              <w:top w:val="nil"/>
              <w:bottom w:val="nil"/>
            </w:tcBorders>
          </w:tcPr>
          <w:p w14:paraId="6A67FFBA" w14:textId="77777777" w:rsidR="003F6D20" w:rsidRPr="00EE335B" w:rsidRDefault="003F6D20" w:rsidP="00C20BA0">
            <w:pPr>
              <w:pStyle w:val="NoSpacing"/>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2010-2011</w:t>
            </w:r>
          </w:p>
          <w:p w14:paraId="32CA6EFE" w14:textId="77777777" w:rsidR="003F6D20" w:rsidRPr="00EE335B" w:rsidRDefault="003F6D20" w:rsidP="00C20BA0">
            <w:pPr>
              <w:pStyle w:val="NoSpacing"/>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46,591)</w:t>
            </w:r>
          </w:p>
        </w:tc>
        <w:tc>
          <w:tcPr>
            <w:tcW w:w="1346" w:type="dxa"/>
            <w:tcBorders>
              <w:top w:val="nil"/>
              <w:bottom w:val="nil"/>
            </w:tcBorders>
          </w:tcPr>
          <w:p w14:paraId="1B10D9BF" w14:textId="77777777" w:rsidR="003F6D20" w:rsidRPr="00EE335B" w:rsidRDefault="003F6D20" w:rsidP="00C20BA0">
            <w:pPr>
              <w:pStyle w:val="NoSpacing"/>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2011-2012</w:t>
            </w:r>
          </w:p>
          <w:p w14:paraId="707E3532" w14:textId="77777777" w:rsidR="003F6D20" w:rsidRPr="00EE335B" w:rsidRDefault="003F6D20" w:rsidP="00C20BA0">
            <w:pPr>
              <w:pStyle w:val="NoSpacing"/>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42,775)</w:t>
            </w:r>
          </w:p>
        </w:tc>
        <w:tc>
          <w:tcPr>
            <w:tcW w:w="1346" w:type="dxa"/>
            <w:tcBorders>
              <w:top w:val="nil"/>
              <w:bottom w:val="nil"/>
            </w:tcBorders>
          </w:tcPr>
          <w:p w14:paraId="34CBC3F0" w14:textId="77777777" w:rsidR="003F6D20" w:rsidRPr="00EE335B" w:rsidRDefault="003F6D20" w:rsidP="00C20BA0">
            <w:pPr>
              <w:pStyle w:val="NoSpacing"/>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2012-2013</w:t>
            </w:r>
          </w:p>
          <w:p w14:paraId="0828A2EF" w14:textId="77777777" w:rsidR="003F6D20" w:rsidRPr="00EE335B" w:rsidRDefault="003F6D20" w:rsidP="00C20BA0">
            <w:pPr>
              <w:pStyle w:val="NoSpacing"/>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42,037)</w:t>
            </w:r>
          </w:p>
        </w:tc>
        <w:tc>
          <w:tcPr>
            <w:tcW w:w="1346" w:type="dxa"/>
            <w:tcBorders>
              <w:top w:val="nil"/>
              <w:bottom w:val="nil"/>
            </w:tcBorders>
          </w:tcPr>
          <w:p w14:paraId="19FF6F03" w14:textId="77777777" w:rsidR="003F6D20" w:rsidRPr="00EE335B" w:rsidRDefault="003F6D20" w:rsidP="00C20BA0">
            <w:pPr>
              <w:pStyle w:val="NoSpacing"/>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2013-2014</w:t>
            </w:r>
          </w:p>
          <w:p w14:paraId="775284CD" w14:textId="77777777" w:rsidR="003F6D20" w:rsidRPr="00EE335B" w:rsidRDefault="003F6D20" w:rsidP="00C20BA0">
            <w:pPr>
              <w:pStyle w:val="NoSpacing"/>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41,553)</w:t>
            </w:r>
          </w:p>
        </w:tc>
        <w:tc>
          <w:tcPr>
            <w:tcW w:w="1347" w:type="dxa"/>
            <w:tcBorders>
              <w:top w:val="nil"/>
              <w:bottom w:val="nil"/>
              <w:right w:val="nil"/>
            </w:tcBorders>
          </w:tcPr>
          <w:p w14:paraId="33BDADF3" w14:textId="77777777" w:rsidR="003F6D20" w:rsidRPr="00EE335B" w:rsidRDefault="003F6D20" w:rsidP="00C20BA0">
            <w:pPr>
              <w:pStyle w:val="NoSpacing"/>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2014-2015</w:t>
            </w:r>
          </w:p>
          <w:p w14:paraId="0EC71853" w14:textId="77777777" w:rsidR="003F6D20" w:rsidRPr="00EE335B" w:rsidRDefault="003F6D20" w:rsidP="00C20BA0">
            <w:pPr>
              <w:pStyle w:val="NoSpacing"/>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42,756)</w:t>
            </w:r>
          </w:p>
        </w:tc>
      </w:tr>
      <w:tr w:rsidR="003F6D20" w:rsidRPr="00EE335B" w14:paraId="6C783DE5" w14:textId="77777777" w:rsidTr="00EE335B">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259" w:type="dxa"/>
            <w:tcBorders>
              <w:top w:val="nil"/>
            </w:tcBorders>
            <w:shd w:val="clear" w:color="auto" w:fill="FFFFFF" w:themeFill="background1"/>
            <w:vAlign w:val="center"/>
          </w:tcPr>
          <w:p w14:paraId="2E71166D" w14:textId="77777777" w:rsidR="003F6D20" w:rsidRPr="00EE335B" w:rsidRDefault="003F6D20" w:rsidP="00C20BA0">
            <w:pPr>
              <w:pStyle w:val="NoSpacing"/>
              <w:keepNext/>
              <w:keepLines/>
              <w:rPr>
                <w:rFonts w:ascii="Times New Roman" w:hAnsi="Times New Roman" w:cs="Times New Roman"/>
                <w:b w:val="0"/>
                <w:color w:val="auto"/>
                <w:sz w:val="14"/>
              </w:rPr>
            </w:pPr>
            <w:r w:rsidRPr="00EE335B">
              <w:rPr>
                <w:rFonts w:ascii="Times New Roman" w:hAnsi="Times New Roman" w:cs="Times New Roman"/>
                <w:b w:val="0"/>
                <w:color w:val="auto"/>
                <w:sz w:val="14"/>
              </w:rPr>
              <w:t>SMMUSD</w:t>
            </w:r>
          </w:p>
        </w:tc>
        <w:tc>
          <w:tcPr>
            <w:tcW w:w="1346" w:type="dxa"/>
            <w:tcBorders>
              <w:top w:val="nil"/>
            </w:tcBorders>
            <w:shd w:val="clear" w:color="auto" w:fill="FFFFFF" w:themeFill="background1"/>
            <w:vAlign w:val="center"/>
          </w:tcPr>
          <w:p w14:paraId="43763036" w14:textId="77777777" w:rsidR="003F6D20" w:rsidRPr="00EE335B" w:rsidRDefault="003F6D20" w:rsidP="00C20BA0">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5.5%</w:t>
            </w:r>
          </w:p>
        </w:tc>
        <w:tc>
          <w:tcPr>
            <w:tcW w:w="1346" w:type="dxa"/>
            <w:tcBorders>
              <w:top w:val="nil"/>
            </w:tcBorders>
            <w:shd w:val="clear" w:color="auto" w:fill="FFFFFF" w:themeFill="background1"/>
            <w:vAlign w:val="center"/>
          </w:tcPr>
          <w:p w14:paraId="28244E93" w14:textId="77777777" w:rsidR="003F6D20" w:rsidRPr="00EE335B" w:rsidRDefault="003F6D20" w:rsidP="00C20BA0">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5.1%</w:t>
            </w:r>
          </w:p>
        </w:tc>
        <w:tc>
          <w:tcPr>
            <w:tcW w:w="1346" w:type="dxa"/>
            <w:tcBorders>
              <w:top w:val="nil"/>
            </w:tcBorders>
            <w:shd w:val="clear" w:color="auto" w:fill="FFFFFF" w:themeFill="background1"/>
            <w:vAlign w:val="center"/>
          </w:tcPr>
          <w:p w14:paraId="13E737C5" w14:textId="77777777" w:rsidR="003F6D20" w:rsidRPr="00EE335B" w:rsidRDefault="003F6D20" w:rsidP="00C20BA0">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4.9%</w:t>
            </w:r>
          </w:p>
        </w:tc>
        <w:tc>
          <w:tcPr>
            <w:tcW w:w="1346" w:type="dxa"/>
            <w:tcBorders>
              <w:top w:val="nil"/>
            </w:tcBorders>
            <w:shd w:val="clear" w:color="auto" w:fill="FFFFFF" w:themeFill="background1"/>
            <w:vAlign w:val="center"/>
          </w:tcPr>
          <w:p w14:paraId="2853364B" w14:textId="77777777" w:rsidR="003F6D20" w:rsidRPr="00EE335B" w:rsidRDefault="003F6D20" w:rsidP="00C20BA0">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4.7%</w:t>
            </w:r>
          </w:p>
        </w:tc>
        <w:tc>
          <w:tcPr>
            <w:tcW w:w="1346" w:type="dxa"/>
            <w:tcBorders>
              <w:top w:val="nil"/>
            </w:tcBorders>
            <w:shd w:val="clear" w:color="auto" w:fill="FFFFFF" w:themeFill="background1"/>
            <w:vAlign w:val="center"/>
          </w:tcPr>
          <w:p w14:paraId="1B5697CA" w14:textId="77777777" w:rsidR="003F6D20" w:rsidRPr="00EE335B" w:rsidRDefault="003F6D20" w:rsidP="00C20BA0">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4.8%</w:t>
            </w:r>
          </w:p>
        </w:tc>
        <w:tc>
          <w:tcPr>
            <w:tcW w:w="1347" w:type="dxa"/>
            <w:tcBorders>
              <w:top w:val="nil"/>
            </w:tcBorders>
            <w:shd w:val="clear" w:color="auto" w:fill="FFFFFF" w:themeFill="background1"/>
            <w:vAlign w:val="center"/>
          </w:tcPr>
          <w:p w14:paraId="6409F13B" w14:textId="77777777" w:rsidR="003F6D20" w:rsidRPr="00EE335B" w:rsidRDefault="003F6D20" w:rsidP="00C20BA0">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5.0%</w:t>
            </w:r>
          </w:p>
        </w:tc>
      </w:tr>
      <w:tr w:rsidR="003F6D20" w:rsidRPr="00EE335B" w14:paraId="3F1B91D1" w14:textId="77777777" w:rsidTr="00EE335B">
        <w:trPr>
          <w:trHeight w:val="316"/>
          <w:jc w:val="center"/>
        </w:trPr>
        <w:tc>
          <w:tcPr>
            <w:cnfStyle w:val="001000000000" w:firstRow="0" w:lastRow="0" w:firstColumn="1" w:lastColumn="0" w:oddVBand="0" w:evenVBand="0" w:oddHBand="0" w:evenHBand="0" w:firstRowFirstColumn="0" w:firstRowLastColumn="0" w:lastRowFirstColumn="0" w:lastRowLastColumn="0"/>
            <w:tcW w:w="1259" w:type="dxa"/>
            <w:shd w:val="clear" w:color="auto" w:fill="DAEEF3" w:themeFill="accent5" w:themeFillTint="33"/>
            <w:vAlign w:val="center"/>
          </w:tcPr>
          <w:p w14:paraId="5BEB75BF" w14:textId="77777777" w:rsidR="003F6D20" w:rsidRPr="00EE335B" w:rsidRDefault="003F6D20" w:rsidP="00C20BA0">
            <w:pPr>
              <w:pStyle w:val="NoSpacing"/>
              <w:keepNext/>
              <w:keepLines/>
              <w:rPr>
                <w:rFonts w:ascii="Times New Roman" w:hAnsi="Times New Roman" w:cs="Times New Roman"/>
                <w:b w:val="0"/>
                <w:color w:val="auto"/>
                <w:sz w:val="14"/>
              </w:rPr>
            </w:pPr>
            <w:r w:rsidRPr="00EE335B">
              <w:rPr>
                <w:rFonts w:ascii="Times New Roman" w:hAnsi="Times New Roman" w:cs="Times New Roman"/>
                <w:b w:val="0"/>
                <w:color w:val="auto"/>
                <w:sz w:val="14"/>
              </w:rPr>
              <w:t>Other California HS</w:t>
            </w:r>
          </w:p>
        </w:tc>
        <w:tc>
          <w:tcPr>
            <w:tcW w:w="1346" w:type="dxa"/>
            <w:vAlign w:val="center"/>
          </w:tcPr>
          <w:p w14:paraId="73110E74" w14:textId="77777777" w:rsidR="003F6D20" w:rsidRPr="00EE335B" w:rsidRDefault="003F6D20" w:rsidP="00C20BA0">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46.7%</w:t>
            </w:r>
          </w:p>
        </w:tc>
        <w:tc>
          <w:tcPr>
            <w:tcW w:w="1346" w:type="dxa"/>
            <w:vAlign w:val="center"/>
          </w:tcPr>
          <w:p w14:paraId="706471D2" w14:textId="77777777" w:rsidR="003F6D20" w:rsidRPr="00EE335B" w:rsidRDefault="003F6D20" w:rsidP="00C20BA0">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47.1%</w:t>
            </w:r>
          </w:p>
        </w:tc>
        <w:tc>
          <w:tcPr>
            <w:tcW w:w="1346" w:type="dxa"/>
            <w:vAlign w:val="center"/>
          </w:tcPr>
          <w:p w14:paraId="586F84E4" w14:textId="77777777" w:rsidR="003F6D20" w:rsidRPr="00EE335B" w:rsidRDefault="003F6D20" w:rsidP="00C20BA0">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47.5%</w:t>
            </w:r>
          </w:p>
        </w:tc>
        <w:tc>
          <w:tcPr>
            <w:tcW w:w="1346" w:type="dxa"/>
            <w:vAlign w:val="center"/>
          </w:tcPr>
          <w:p w14:paraId="494A058E" w14:textId="77777777" w:rsidR="003F6D20" w:rsidRPr="00EE335B" w:rsidRDefault="003F6D20" w:rsidP="00C20BA0">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47.7%</w:t>
            </w:r>
          </w:p>
        </w:tc>
        <w:tc>
          <w:tcPr>
            <w:tcW w:w="1346" w:type="dxa"/>
            <w:vAlign w:val="center"/>
          </w:tcPr>
          <w:p w14:paraId="37C3F38D" w14:textId="77777777" w:rsidR="003F6D20" w:rsidRPr="00EE335B" w:rsidRDefault="003F6D20" w:rsidP="00C20BA0">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46.9%</w:t>
            </w:r>
          </w:p>
        </w:tc>
        <w:tc>
          <w:tcPr>
            <w:tcW w:w="1347" w:type="dxa"/>
            <w:vAlign w:val="center"/>
          </w:tcPr>
          <w:p w14:paraId="73632F54" w14:textId="77777777" w:rsidR="003F6D20" w:rsidRPr="00EE335B" w:rsidRDefault="003F6D20" w:rsidP="00C20BA0">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46.7%</w:t>
            </w:r>
          </w:p>
        </w:tc>
      </w:tr>
      <w:tr w:rsidR="003F6D20" w:rsidRPr="00EE335B" w14:paraId="62DF2760" w14:textId="77777777" w:rsidTr="00EE335B">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259" w:type="dxa"/>
            <w:shd w:val="clear" w:color="auto" w:fill="FFFFFF" w:themeFill="background1"/>
            <w:vAlign w:val="center"/>
          </w:tcPr>
          <w:p w14:paraId="1FB5D2C6" w14:textId="77777777" w:rsidR="003F6D20" w:rsidRPr="00EE335B" w:rsidRDefault="003F6D20" w:rsidP="00C20BA0">
            <w:pPr>
              <w:pStyle w:val="NoSpacing"/>
              <w:keepNext/>
              <w:keepLines/>
              <w:rPr>
                <w:rFonts w:ascii="Times New Roman" w:hAnsi="Times New Roman" w:cs="Times New Roman"/>
                <w:b w:val="0"/>
                <w:color w:val="auto"/>
                <w:sz w:val="14"/>
              </w:rPr>
            </w:pPr>
            <w:r w:rsidRPr="00EE335B">
              <w:rPr>
                <w:rFonts w:ascii="Times New Roman" w:hAnsi="Times New Roman" w:cs="Times New Roman"/>
                <w:b w:val="0"/>
                <w:color w:val="auto"/>
                <w:sz w:val="14"/>
              </w:rPr>
              <w:t>Out-of-state</w:t>
            </w:r>
          </w:p>
        </w:tc>
        <w:tc>
          <w:tcPr>
            <w:tcW w:w="1346" w:type="dxa"/>
            <w:shd w:val="clear" w:color="auto" w:fill="FFFFFF" w:themeFill="background1"/>
            <w:vAlign w:val="center"/>
          </w:tcPr>
          <w:p w14:paraId="1D63B339" w14:textId="77777777" w:rsidR="003F6D20" w:rsidRPr="00EE335B" w:rsidRDefault="003F6D20" w:rsidP="00C20BA0">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31.6%</w:t>
            </w:r>
          </w:p>
        </w:tc>
        <w:tc>
          <w:tcPr>
            <w:tcW w:w="1346" w:type="dxa"/>
            <w:shd w:val="clear" w:color="auto" w:fill="FFFFFF" w:themeFill="background1"/>
            <w:vAlign w:val="center"/>
          </w:tcPr>
          <w:p w14:paraId="14DF5B84" w14:textId="77777777" w:rsidR="003F6D20" w:rsidRPr="00EE335B" w:rsidRDefault="003F6D20" w:rsidP="00C20BA0">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30.9%</w:t>
            </w:r>
          </w:p>
        </w:tc>
        <w:tc>
          <w:tcPr>
            <w:tcW w:w="1346" w:type="dxa"/>
            <w:shd w:val="clear" w:color="auto" w:fill="FFFFFF" w:themeFill="background1"/>
            <w:vAlign w:val="center"/>
          </w:tcPr>
          <w:p w14:paraId="57C68735" w14:textId="77777777" w:rsidR="003F6D20" w:rsidRPr="00EE335B" w:rsidRDefault="003F6D20" w:rsidP="00C20BA0">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30.2%</w:t>
            </w:r>
          </w:p>
        </w:tc>
        <w:tc>
          <w:tcPr>
            <w:tcW w:w="1346" w:type="dxa"/>
            <w:shd w:val="clear" w:color="auto" w:fill="FFFFFF" w:themeFill="background1"/>
            <w:vAlign w:val="center"/>
          </w:tcPr>
          <w:p w14:paraId="763DD531" w14:textId="77777777" w:rsidR="003F6D20" w:rsidRPr="00EE335B" w:rsidRDefault="003F6D20" w:rsidP="00C20BA0">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30.0%</w:t>
            </w:r>
          </w:p>
        </w:tc>
        <w:tc>
          <w:tcPr>
            <w:tcW w:w="1346" w:type="dxa"/>
            <w:shd w:val="clear" w:color="auto" w:fill="FFFFFF" w:themeFill="background1"/>
            <w:vAlign w:val="center"/>
          </w:tcPr>
          <w:p w14:paraId="3D28A9F1" w14:textId="77777777" w:rsidR="003F6D20" w:rsidRPr="00EE335B" w:rsidRDefault="003F6D20" w:rsidP="00C20BA0">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31.0%</w:t>
            </w:r>
          </w:p>
        </w:tc>
        <w:tc>
          <w:tcPr>
            <w:tcW w:w="1347" w:type="dxa"/>
            <w:shd w:val="clear" w:color="auto" w:fill="FFFFFF" w:themeFill="background1"/>
            <w:vAlign w:val="center"/>
          </w:tcPr>
          <w:p w14:paraId="5C0C672E" w14:textId="77777777" w:rsidR="003F6D20" w:rsidRPr="00EE335B" w:rsidRDefault="003F6D20" w:rsidP="00C20BA0">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31.2%</w:t>
            </w:r>
          </w:p>
        </w:tc>
      </w:tr>
      <w:tr w:rsidR="003F6D20" w:rsidRPr="00EE335B" w14:paraId="3092AD55" w14:textId="77777777" w:rsidTr="00EE335B">
        <w:trPr>
          <w:trHeight w:val="316"/>
          <w:jc w:val="center"/>
        </w:trPr>
        <w:tc>
          <w:tcPr>
            <w:cnfStyle w:val="001000000000" w:firstRow="0" w:lastRow="0" w:firstColumn="1" w:lastColumn="0" w:oddVBand="0" w:evenVBand="0" w:oddHBand="0" w:evenHBand="0" w:firstRowFirstColumn="0" w:firstRowLastColumn="0" w:lastRowFirstColumn="0" w:lastRowLastColumn="0"/>
            <w:tcW w:w="1259" w:type="dxa"/>
            <w:shd w:val="clear" w:color="auto" w:fill="DAEEF3" w:themeFill="accent5" w:themeFillTint="33"/>
            <w:vAlign w:val="center"/>
          </w:tcPr>
          <w:p w14:paraId="25F67BA6" w14:textId="77777777" w:rsidR="003F6D20" w:rsidRPr="00EE335B" w:rsidRDefault="003F6D20" w:rsidP="00C20BA0">
            <w:pPr>
              <w:pStyle w:val="NoSpacing"/>
              <w:keepNext/>
              <w:keepLines/>
              <w:rPr>
                <w:rFonts w:ascii="Times New Roman" w:hAnsi="Times New Roman" w:cs="Times New Roman"/>
                <w:b w:val="0"/>
                <w:color w:val="auto"/>
                <w:sz w:val="14"/>
              </w:rPr>
            </w:pPr>
            <w:r w:rsidRPr="00EE335B">
              <w:rPr>
                <w:rFonts w:ascii="Times New Roman" w:hAnsi="Times New Roman" w:cs="Times New Roman"/>
                <w:b w:val="0"/>
                <w:color w:val="auto"/>
                <w:sz w:val="14"/>
              </w:rPr>
              <w:t>Foreign HS</w:t>
            </w:r>
          </w:p>
        </w:tc>
        <w:tc>
          <w:tcPr>
            <w:tcW w:w="1346" w:type="dxa"/>
            <w:vAlign w:val="center"/>
          </w:tcPr>
          <w:p w14:paraId="7BF246C0" w14:textId="77777777" w:rsidR="003F6D20" w:rsidRPr="00EE335B" w:rsidRDefault="003F6D20" w:rsidP="00C20BA0">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15.8%</w:t>
            </w:r>
          </w:p>
        </w:tc>
        <w:tc>
          <w:tcPr>
            <w:tcW w:w="1346" w:type="dxa"/>
            <w:vAlign w:val="center"/>
          </w:tcPr>
          <w:p w14:paraId="18911D7A" w14:textId="77777777" w:rsidR="003F6D20" w:rsidRPr="00EE335B" w:rsidRDefault="003F6D20" w:rsidP="00C20BA0">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16.5%</w:t>
            </w:r>
          </w:p>
        </w:tc>
        <w:tc>
          <w:tcPr>
            <w:tcW w:w="1346" w:type="dxa"/>
            <w:vAlign w:val="center"/>
          </w:tcPr>
          <w:p w14:paraId="12249030" w14:textId="77777777" w:rsidR="003F6D20" w:rsidRPr="00EE335B" w:rsidRDefault="003F6D20" w:rsidP="00C20BA0">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17.0%</w:t>
            </w:r>
          </w:p>
        </w:tc>
        <w:tc>
          <w:tcPr>
            <w:tcW w:w="1346" w:type="dxa"/>
            <w:vAlign w:val="center"/>
          </w:tcPr>
          <w:p w14:paraId="1FBC4420" w14:textId="77777777" w:rsidR="003F6D20" w:rsidRPr="00EE335B" w:rsidRDefault="003F6D20" w:rsidP="00C20BA0">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17.2%</w:t>
            </w:r>
          </w:p>
        </w:tc>
        <w:tc>
          <w:tcPr>
            <w:tcW w:w="1346" w:type="dxa"/>
            <w:vAlign w:val="center"/>
          </w:tcPr>
          <w:p w14:paraId="148E4C6E" w14:textId="77777777" w:rsidR="003F6D20" w:rsidRPr="00EE335B" w:rsidRDefault="003F6D20" w:rsidP="00C20BA0">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17.0%</w:t>
            </w:r>
          </w:p>
        </w:tc>
        <w:tc>
          <w:tcPr>
            <w:tcW w:w="1347" w:type="dxa"/>
            <w:vAlign w:val="center"/>
          </w:tcPr>
          <w:p w14:paraId="3216D268" w14:textId="77777777" w:rsidR="003F6D20" w:rsidRPr="00EE335B" w:rsidRDefault="003F6D20" w:rsidP="00C20BA0">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16.8%</w:t>
            </w:r>
          </w:p>
        </w:tc>
      </w:tr>
      <w:tr w:rsidR="003F6D20" w:rsidRPr="00EE335B" w14:paraId="51404682" w14:textId="77777777" w:rsidTr="00EE335B">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259" w:type="dxa"/>
            <w:shd w:val="clear" w:color="auto" w:fill="FFFFFF" w:themeFill="background1"/>
            <w:vAlign w:val="center"/>
          </w:tcPr>
          <w:p w14:paraId="06106FA6" w14:textId="77777777" w:rsidR="003F6D20" w:rsidRPr="00EE335B" w:rsidRDefault="003F6D20" w:rsidP="00C20BA0">
            <w:pPr>
              <w:pStyle w:val="NoSpacing"/>
              <w:keepNext/>
              <w:keepLines/>
              <w:rPr>
                <w:rFonts w:ascii="Times New Roman" w:hAnsi="Times New Roman" w:cs="Times New Roman"/>
                <w:b w:val="0"/>
                <w:color w:val="auto"/>
                <w:sz w:val="14"/>
              </w:rPr>
            </w:pPr>
            <w:r w:rsidRPr="00EE335B">
              <w:rPr>
                <w:rFonts w:ascii="Times New Roman" w:hAnsi="Times New Roman" w:cs="Times New Roman"/>
                <w:b w:val="0"/>
                <w:color w:val="auto"/>
                <w:sz w:val="14"/>
              </w:rPr>
              <w:t>Not a HS grad</w:t>
            </w:r>
          </w:p>
        </w:tc>
        <w:tc>
          <w:tcPr>
            <w:tcW w:w="1346" w:type="dxa"/>
            <w:shd w:val="clear" w:color="auto" w:fill="FFFFFF" w:themeFill="background1"/>
            <w:vAlign w:val="center"/>
          </w:tcPr>
          <w:p w14:paraId="3F97D7A5" w14:textId="77777777" w:rsidR="003F6D20" w:rsidRPr="00EE335B" w:rsidRDefault="003F6D20" w:rsidP="00C20BA0">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0.4%</w:t>
            </w:r>
          </w:p>
        </w:tc>
        <w:tc>
          <w:tcPr>
            <w:tcW w:w="1346" w:type="dxa"/>
            <w:shd w:val="clear" w:color="auto" w:fill="FFFFFF" w:themeFill="background1"/>
            <w:vAlign w:val="center"/>
          </w:tcPr>
          <w:p w14:paraId="3F38B274" w14:textId="77777777" w:rsidR="003F6D20" w:rsidRPr="00EE335B" w:rsidRDefault="003F6D20" w:rsidP="00C20BA0">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0.4%</w:t>
            </w:r>
          </w:p>
        </w:tc>
        <w:tc>
          <w:tcPr>
            <w:tcW w:w="1346" w:type="dxa"/>
            <w:shd w:val="clear" w:color="auto" w:fill="FFFFFF" w:themeFill="background1"/>
            <w:vAlign w:val="center"/>
          </w:tcPr>
          <w:p w14:paraId="7D22D9FD" w14:textId="77777777" w:rsidR="003F6D20" w:rsidRPr="00EE335B" w:rsidRDefault="003F6D20" w:rsidP="00C20BA0">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0.4%</w:t>
            </w:r>
          </w:p>
        </w:tc>
        <w:tc>
          <w:tcPr>
            <w:tcW w:w="1346" w:type="dxa"/>
            <w:shd w:val="clear" w:color="auto" w:fill="FFFFFF" w:themeFill="background1"/>
            <w:vAlign w:val="center"/>
          </w:tcPr>
          <w:p w14:paraId="3D11B48C" w14:textId="77777777" w:rsidR="003F6D20" w:rsidRPr="00EE335B" w:rsidRDefault="003F6D20" w:rsidP="00C20BA0">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0.4%</w:t>
            </w:r>
          </w:p>
        </w:tc>
        <w:tc>
          <w:tcPr>
            <w:tcW w:w="1346" w:type="dxa"/>
            <w:shd w:val="clear" w:color="auto" w:fill="FFFFFF" w:themeFill="background1"/>
            <w:vAlign w:val="center"/>
          </w:tcPr>
          <w:p w14:paraId="6B483F97" w14:textId="77777777" w:rsidR="003F6D20" w:rsidRPr="00EE335B" w:rsidRDefault="003F6D20" w:rsidP="00C20BA0">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0.4%</w:t>
            </w:r>
          </w:p>
        </w:tc>
        <w:tc>
          <w:tcPr>
            <w:tcW w:w="1347" w:type="dxa"/>
            <w:shd w:val="clear" w:color="auto" w:fill="FFFFFF" w:themeFill="background1"/>
            <w:vAlign w:val="center"/>
          </w:tcPr>
          <w:p w14:paraId="4DBC70CD" w14:textId="77777777" w:rsidR="003F6D20" w:rsidRPr="00EE335B" w:rsidRDefault="003F6D20" w:rsidP="00C20BA0">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0.3%</w:t>
            </w:r>
          </w:p>
        </w:tc>
      </w:tr>
      <w:tr w:rsidR="003F6D20" w:rsidRPr="00EE335B" w14:paraId="518D1D5C" w14:textId="77777777" w:rsidTr="00EE335B">
        <w:trPr>
          <w:trHeight w:val="316"/>
          <w:jc w:val="center"/>
        </w:trPr>
        <w:tc>
          <w:tcPr>
            <w:cnfStyle w:val="001000000000" w:firstRow="0" w:lastRow="0" w:firstColumn="1" w:lastColumn="0" w:oddVBand="0" w:evenVBand="0" w:oddHBand="0" w:evenHBand="0" w:firstRowFirstColumn="0" w:firstRowLastColumn="0" w:lastRowFirstColumn="0" w:lastRowLastColumn="0"/>
            <w:tcW w:w="1259" w:type="dxa"/>
            <w:tcBorders>
              <w:top w:val="single" w:sz="4" w:space="0" w:color="auto"/>
              <w:bottom w:val="single" w:sz="4" w:space="0" w:color="auto"/>
            </w:tcBorders>
            <w:shd w:val="clear" w:color="auto" w:fill="FFFFFF" w:themeFill="background1"/>
            <w:vAlign w:val="center"/>
          </w:tcPr>
          <w:p w14:paraId="29DDC17E" w14:textId="77777777" w:rsidR="003F6D20" w:rsidRPr="00EE335B" w:rsidRDefault="003F6D20" w:rsidP="00C20BA0">
            <w:pPr>
              <w:keepNext/>
              <w:keepLines/>
              <w:rPr>
                <w:rFonts w:cs="Times New Roman"/>
                <w:b w:val="0"/>
                <w:color w:val="215868" w:themeColor="accent5" w:themeShade="80"/>
                <w:sz w:val="14"/>
              </w:rPr>
            </w:pPr>
            <w:r w:rsidRPr="00EE335B">
              <w:rPr>
                <w:rFonts w:cs="Times New Roman"/>
                <w:b w:val="0"/>
                <w:color w:val="215868" w:themeColor="accent5" w:themeShade="80"/>
                <w:sz w:val="14"/>
              </w:rPr>
              <w:t>Total</w:t>
            </w:r>
          </w:p>
        </w:tc>
        <w:tc>
          <w:tcPr>
            <w:tcW w:w="1346" w:type="dxa"/>
            <w:tcBorders>
              <w:top w:val="single" w:sz="4" w:space="0" w:color="auto"/>
              <w:bottom w:val="single" w:sz="4" w:space="0" w:color="auto"/>
            </w:tcBorders>
            <w:shd w:val="clear" w:color="auto" w:fill="FFFFFF" w:themeFill="background1"/>
            <w:vAlign w:val="center"/>
          </w:tcPr>
          <w:p w14:paraId="3B54D790" w14:textId="77777777" w:rsidR="003F6D20" w:rsidRPr="00EE335B" w:rsidRDefault="003F6D20" w:rsidP="00C20BA0">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6" w:type="dxa"/>
            <w:tcBorders>
              <w:top w:val="single" w:sz="4" w:space="0" w:color="auto"/>
              <w:bottom w:val="single" w:sz="4" w:space="0" w:color="auto"/>
            </w:tcBorders>
            <w:shd w:val="clear" w:color="auto" w:fill="FFFFFF" w:themeFill="background1"/>
            <w:vAlign w:val="center"/>
          </w:tcPr>
          <w:p w14:paraId="40DE9285" w14:textId="77777777" w:rsidR="003F6D20" w:rsidRPr="00EE335B" w:rsidRDefault="003F6D20" w:rsidP="00C20BA0">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6" w:type="dxa"/>
            <w:tcBorders>
              <w:top w:val="single" w:sz="4" w:space="0" w:color="auto"/>
              <w:bottom w:val="single" w:sz="4" w:space="0" w:color="auto"/>
            </w:tcBorders>
            <w:shd w:val="clear" w:color="auto" w:fill="FFFFFF" w:themeFill="background1"/>
            <w:vAlign w:val="center"/>
          </w:tcPr>
          <w:p w14:paraId="35A7BEAD" w14:textId="77777777" w:rsidR="003F6D20" w:rsidRPr="00EE335B" w:rsidRDefault="003F6D20" w:rsidP="00C20BA0">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6" w:type="dxa"/>
            <w:tcBorders>
              <w:top w:val="single" w:sz="4" w:space="0" w:color="auto"/>
              <w:bottom w:val="single" w:sz="4" w:space="0" w:color="auto"/>
            </w:tcBorders>
            <w:shd w:val="clear" w:color="auto" w:fill="FFFFFF" w:themeFill="background1"/>
            <w:vAlign w:val="center"/>
          </w:tcPr>
          <w:p w14:paraId="7F4ABBD3" w14:textId="77777777" w:rsidR="003F6D20" w:rsidRPr="00EE335B" w:rsidRDefault="003F6D20" w:rsidP="00C20BA0">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6" w:type="dxa"/>
            <w:tcBorders>
              <w:top w:val="single" w:sz="4" w:space="0" w:color="auto"/>
              <w:bottom w:val="single" w:sz="4" w:space="0" w:color="auto"/>
            </w:tcBorders>
            <w:shd w:val="clear" w:color="auto" w:fill="FFFFFF" w:themeFill="background1"/>
            <w:vAlign w:val="center"/>
          </w:tcPr>
          <w:p w14:paraId="71148AB4" w14:textId="77777777" w:rsidR="003F6D20" w:rsidRPr="00EE335B" w:rsidRDefault="003F6D20" w:rsidP="00C20BA0">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7" w:type="dxa"/>
            <w:tcBorders>
              <w:top w:val="single" w:sz="4" w:space="0" w:color="auto"/>
              <w:bottom w:val="single" w:sz="4" w:space="0" w:color="auto"/>
            </w:tcBorders>
            <w:shd w:val="clear" w:color="auto" w:fill="FFFFFF" w:themeFill="background1"/>
            <w:vAlign w:val="center"/>
          </w:tcPr>
          <w:p w14:paraId="3C1A21BD" w14:textId="77777777" w:rsidR="003F6D20" w:rsidRPr="00EE335B" w:rsidRDefault="003F6D20" w:rsidP="00C20BA0">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r>
    </w:tbl>
    <w:p w14:paraId="2DAC3A20" w14:textId="77777777" w:rsidR="003F6D20" w:rsidRPr="00EE335B" w:rsidRDefault="003F6D20" w:rsidP="00434A3C">
      <w:pPr>
        <w:keepLines/>
        <w:rPr>
          <w:rFonts w:cs="Times New Roman"/>
          <w:sz w:val="20"/>
        </w:rPr>
      </w:pPr>
      <w:r w:rsidRPr="00EE335B">
        <w:rPr>
          <w:rFonts w:cs="Times New Roman"/>
          <w:i/>
          <w:sz w:val="14"/>
        </w:rPr>
        <w:t>Source: Management Information System (MIS)</w:t>
      </w:r>
    </w:p>
    <w:p w14:paraId="433EA016" w14:textId="77777777" w:rsidR="003F6D20" w:rsidRPr="00EE335B" w:rsidRDefault="003F6D20" w:rsidP="003F6D20">
      <w:pPr>
        <w:rPr>
          <w:rFonts w:cs="Times New Roman"/>
          <w:sz w:val="20"/>
        </w:rPr>
      </w:pPr>
    </w:p>
    <w:p w14:paraId="54904A40" w14:textId="77777777" w:rsidR="003F6D20" w:rsidRPr="00EE335B" w:rsidRDefault="003F6D20" w:rsidP="003D4C4D">
      <w:pPr>
        <w:pStyle w:val="Heading4"/>
      </w:pPr>
      <w:r w:rsidRPr="00EE335B">
        <w:t>Educational Goal</w:t>
      </w:r>
    </w:p>
    <w:p w14:paraId="3E7D666C" w14:textId="416590EA" w:rsidR="003F6D20" w:rsidRPr="00EE335B" w:rsidRDefault="003F6D20" w:rsidP="00B71792">
      <w:pPr>
        <w:pStyle w:val="Normalwithspacebetween"/>
      </w:pPr>
      <w:r w:rsidRPr="00EE335B">
        <w:t>Over the past six years, the proportion of credit students at Santa Monica College reporting a transfer or associate degree as their highest educational goal increased by 11.8</w:t>
      </w:r>
      <w:r w:rsidR="00B5133B">
        <w:t xml:space="preserve"> percent</w:t>
      </w:r>
      <w:r w:rsidRPr="00EE335B">
        <w:t xml:space="preserve"> and 1.9</w:t>
      </w:r>
      <w:r w:rsidR="00B5133B">
        <w:t xml:space="preserve"> percent</w:t>
      </w:r>
      <w:r w:rsidRPr="00EE335B">
        <w:t xml:space="preserve">, respectively. During the same period, the proportion of students reporting a career-related, educational development, or undecided goal decreased. The percentage of four-year college students taking courses to meet 4-year college requirements also experienced a decline. The large majority of </w:t>
      </w:r>
      <w:r w:rsidR="001C0BCD">
        <w:t>Santa Monica College</w:t>
      </w:r>
      <w:r w:rsidRPr="00EE335B">
        <w:t xml:space="preserve"> students (75.4</w:t>
      </w:r>
      <w:r w:rsidR="00B5133B">
        <w:t xml:space="preserve"> percent</w:t>
      </w:r>
      <w:r w:rsidRPr="00EE335B">
        <w:t xml:space="preserve"> in 2014-2015) reported a credential goal (transfer, degree, or certificate).</w:t>
      </w:r>
    </w:p>
    <w:p w14:paraId="6BCF09A9" w14:textId="77777777" w:rsidR="003F6D20" w:rsidRPr="00EE335B" w:rsidRDefault="003F6D20" w:rsidP="003F6D20">
      <w:pPr>
        <w:pStyle w:val="NoSpacing"/>
        <w:rPr>
          <w:rFonts w:ascii="Times New Roman" w:hAnsi="Times New Roman" w:cs="Times New Roman"/>
        </w:rPr>
      </w:pPr>
    </w:p>
    <w:p w14:paraId="00B27CBA" w14:textId="77777777" w:rsidR="003F6D20" w:rsidRPr="00EE335B" w:rsidRDefault="003F6D20" w:rsidP="003F6D20">
      <w:pPr>
        <w:jc w:val="center"/>
        <w:rPr>
          <w:rFonts w:cs="Times New Roman"/>
          <w:sz w:val="20"/>
        </w:rPr>
      </w:pPr>
      <w:r w:rsidRPr="00EE335B">
        <w:rPr>
          <w:rFonts w:cs="Times New Roman"/>
          <w:sz w:val="20"/>
        </w:rPr>
        <w:t>Stated Educational Goal, 2009-2010 to 2014-2015</w:t>
      </w:r>
    </w:p>
    <w:tbl>
      <w:tblPr>
        <w:tblStyle w:val="GridTable5Dark-Accent51"/>
        <w:tblW w:w="9322" w:type="dxa"/>
        <w:jc w:val="center"/>
        <w:tblLook w:val="04A0" w:firstRow="1" w:lastRow="0" w:firstColumn="1" w:lastColumn="0" w:noHBand="0" w:noVBand="1"/>
      </w:tblPr>
      <w:tblGrid>
        <w:gridCol w:w="1257"/>
        <w:gridCol w:w="1344"/>
        <w:gridCol w:w="1344"/>
        <w:gridCol w:w="1344"/>
        <w:gridCol w:w="1344"/>
        <w:gridCol w:w="1344"/>
        <w:gridCol w:w="1345"/>
      </w:tblGrid>
      <w:tr w:rsidR="003F6D20" w:rsidRPr="00EE335B" w14:paraId="05CBC56B" w14:textId="77777777" w:rsidTr="00EE335B">
        <w:trPr>
          <w:cnfStyle w:val="100000000000" w:firstRow="1" w:lastRow="0" w:firstColumn="0" w:lastColumn="0" w:oddVBand="0" w:evenVBand="0" w:oddHBand="0"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1257" w:type="dxa"/>
            <w:tcBorders>
              <w:top w:val="nil"/>
              <w:left w:val="nil"/>
              <w:bottom w:val="nil"/>
            </w:tcBorders>
          </w:tcPr>
          <w:p w14:paraId="5A67A770" w14:textId="77777777" w:rsidR="003F6D20" w:rsidRPr="00EE335B" w:rsidRDefault="003F6D20" w:rsidP="00EE335B">
            <w:pPr>
              <w:rPr>
                <w:rFonts w:cs="Times New Roman"/>
                <w:b w:val="0"/>
                <w:sz w:val="16"/>
              </w:rPr>
            </w:pPr>
          </w:p>
        </w:tc>
        <w:tc>
          <w:tcPr>
            <w:tcW w:w="1344" w:type="dxa"/>
            <w:tcBorders>
              <w:top w:val="nil"/>
              <w:bottom w:val="nil"/>
            </w:tcBorders>
          </w:tcPr>
          <w:p w14:paraId="558F528C"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2009-2010</w:t>
            </w:r>
          </w:p>
          <w:p w14:paraId="765EA883"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49,704)</w:t>
            </w:r>
          </w:p>
        </w:tc>
        <w:tc>
          <w:tcPr>
            <w:tcW w:w="1344" w:type="dxa"/>
            <w:tcBorders>
              <w:top w:val="nil"/>
              <w:bottom w:val="nil"/>
            </w:tcBorders>
          </w:tcPr>
          <w:p w14:paraId="287399C2"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2010-2011</w:t>
            </w:r>
          </w:p>
          <w:p w14:paraId="75DE7E2A"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46,591)</w:t>
            </w:r>
          </w:p>
        </w:tc>
        <w:tc>
          <w:tcPr>
            <w:tcW w:w="1344" w:type="dxa"/>
            <w:tcBorders>
              <w:top w:val="nil"/>
              <w:bottom w:val="nil"/>
            </w:tcBorders>
          </w:tcPr>
          <w:p w14:paraId="739B1787"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2011-2012</w:t>
            </w:r>
          </w:p>
          <w:p w14:paraId="1FE28311"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42,775)</w:t>
            </w:r>
          </w:p>
        </w:tc>
        <w:tc>
          <w:tcPr>
            <w:tcW w:w="1344" w:type="dxa"/>
            <w:tcBorders>
              <w:top w:val="nil"/>
              <w:bottom w:val="nil"/>
            </w:tcBorders>
          </w:tcPr>
          <w:p w14:paraId="4FCAE1BE"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2012-2013</w:t>
            </w:r>
          </w:p>
          <w:p w14:paraId="35430333"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42,037)</w:t>
            </w:r>
          </w:p>
        </w:tc>
        <w:tc>
          <w:tcPr>
            <w:tcW w:w="1344" w:type="dxa"/>
            <w:tcBorders>
              <w:top w:val="nil"/>
              <w:bottom w:val="nil"/>
            </w:tcBorders>
          </w:tcPr>
          <w:p w14:paraId="66DE98D0"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2013-2014</w:t>
            </w:r>
          </w:p>
          <w:p w14:paraId="049942E0"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41,553)</w:t>
            </w:r>
          </w:p>
        </w:tc>
        <w:tc>
          <w:tcPr>
            <w:tcW w:w="1345" w:type="dxa"/>
            <w:tcBorders>
              <w:top w:val="nil"/>
              <w:bottom w:val="nil"/>
              <w:right w:val="nil"/>
            </w:tcBorders>
          </w:tcPr>
          <w:p w14:paraId="06A740A7"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2014-2015</w:t>
            </w:r>
          </w:p>
          <w:p w14:paraId="5967FFC3"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42,756)</w:t>
            </w:r>
          </w:p>
        </w:tc>
      </w:tr>
      <w:tr w:rsidR="003F6D20" w:rsidRPr="00EE335B" w14:paraId="748B9B4D" w14:textId="77777777" w:rsidTr="00EE335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257" w:type="dxa"/>
            <w:tcBorders>
              <w:top w:val="nil"/>
            </w:tcBorders>
            <w:shd w:val="clear" w:color="auto" w:fill="FFFFFF" w:themeFill="background1"/>
            <w:vAlign w:val="center"/>
          </w:tcPr>
          <w:p w14:paraId="75614AB9" w14:textId="77777777" w:rsidR="003F6D20" w:rsidRPr="00EE335B" w:rsidRDefault="003F6D20" w:rsidP="00EE335B">
            <w:pPr>
              <w:pStyle w:val="NoSpacing"/>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Transfer</w:t>
            </w:r>
          </w:p>
        </w:tc>
        <w:tc>
          <w:tcPr>
            <w:tcW w:w="1344" w:type="dxa"/>
            <w:tcBorders>
              <w:top w:val="nil"/>
            </w:tcBorders>
            <w:shd w:val="clear" w:color="auto" w:fill="FFFFFF" w:themeFill="background1"/>
            <w:vAlign w:val="center"/>
          </w:tcPr>
          <w:p w14:paraId="307C8588"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55.4%</w:t>
            </w:r>
          </w:p>
        </w:tc>
        <w:tc>
          <w:tcPr>
            <w:tcW w:w="1344" w:type="dxa"/>
            <w:tcBorders>
              <w:top w:val="nil"/>
            </w:tcBorders>
            <w:shd w:val="clear" w:color="auto" w:fill="FFFFFF" w:themeFill="background1"/>
            <w:vAlign w:val="center"/>
          </w:tcPr>
          <w:p w14:paraId="341B82A8"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59.7%</w:t>
            </w:r>
          </w:p>
        </w:tc>
        <w:tc>
          <w:tcPr>
            <w:tcW w:w="1344" w:type="dxa"/>
            <w:tcBorders>
              <w:top w:val="nil"/>
            </w:tcBorders>
            <w:shd w:val="clear" w:color="auto" w:fill="FFFFFF" w:themeFill="background1"/>
            <w:vAlign w:val="center"/>
          </w:tcPr>
          <w:p w14:paraId="1E702F1D"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65.0%</w:t>
            </w:r>
          </w:p>
        </w:tc>
        <w:tc>
          <w:tcPr>
            <w:tcW w:w="1344" w:type="dxa"/>
            <w:tcBorders>
              <w:top w:val="nil"/>
            </w:tcBorders>
            <w:shd w:val="clear" w:color="auto" w:fill="FFFFFF" w:themeFill="background1"/>
            <w:vAlign w:val="center"/>
          </w:tcPr>
          <w:p w14:paraId="50CC3B55"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67.3%</w:t>
            </w:r>
          </w:p>
        </w:tc>
        <w:tc>
          <w:tcPr>
            <w:tcW w:w="1344" w:type="dxa"/>
            <w:tcBorders>
              <w:top w:val="nil"/>
            </w:tcBorders>
            <w:shd w:val="clear" w:color="auto" w:fill="FFFFFF" w:themeFill="background1"/>
            <w:vAlign w:val="center"/>
          </w:tcPr>
          <w:p w14:paraId="460D16E0"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68.0%</w:t>
            </w:r>
          </w:p>
        </w:tc>
        <w:tc>
          <w:tcPr>
            <w:tcW w:w="1345" w:type="dxa"/>
            <w:tcBorders>
              <w:top w:val="nil"/>
            </w:tcBorders>
            <w:shd w:val="clear" w:color="auto" w:fill="FFFFFF" w:themeFill="background1"/>
            <w:vAlign w:val="center"/>
          </w:tcPr>
          <w:p w14:paraId="7F3377E5"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67.2%</w:t>
            </w:r>
          </w:p>
        </w:tc>
      </w:tr>
      <w:tr w:rsidR="003F6D20" w:rsidRPr="00EE335B" w14:paraId="423C0025" w14:textId="77777777" w:rsidTr="00EE335B">
        <w:trPr>
          <w:trHeight w:val="397"/>
          <w:jc w:val="center"/>
        </w:trPr>
        <w:tc>
          <w:tcPr>
            <w:cnfStyle w:val="001000000000" w:firstRow="0" w:lastRow="0" w:firstColumn="1" w:lastColumn="0" w:oddVBand="0" w:evenVBand="0" w:oddHBand="0" w:evenHBand="0" w:firstRowFirstColumn="0" w:firstRowLastColumn="0" w:lastRowFirstColumn="0" w:lastRowLastColumn="0"/>
            <w:tcW w:w="1257" w:type="dxa"/>
            <w:shd w:val="clear" w:color="auto" w:fill="DAEEF3" w:themeFill="accent5" w:themeFillTint="33"/>
            <w:vAlign w:val="center"/>
          </w:tcPr>
          <w:p w14:paraId="2AD1D6C7" w14:textId="77777777" w:rsidR="003F6D20" w:rsidRPr="00EE335B" w:rsidRDefault="003F6D20" w:rsidP="00EE335B">
            <w:pPr>
              <w:pStyle w:val="NoSpacing"/>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Associate Degree</w:t>
            </w:r>
          </w:p>
        </w:tc>
        <w:tc>
          <w:tcPr>
            <w:tcW w:w="1344" w:type="dxa"/>
            <w:vAlign w:val="center"/>
          </w:tcPr>
          <w:p w14:paraId="4F29693B"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4.7%</w:t>
            </w:r>
          </w:p>
        </w:tc>
        <w:tc>
          <w:tcPr>
            <w:tcW w:w="1344" w:type="dxa"/>
            <w:vAlign w:val="center"/>
          </w:tcPr>
          <w:p w14:paraId="02B6ED94"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5.3%</w:t>
            </w:r>
          </w:p>
        </w:tc>
        <w:tc>
          <w:tcPr>
            <w:tcW w:w="1344" w:type="dxa"/>
            <w:vAlign w:val="center"/>
          </w:tcPr>
          <w:p w14:paraId="3EC504E2"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5.7%</w:t>
            </w:r>
          </w:p>
        </w:tc>
        <w:tc>
          <w:tcPr>
            <w:tcW w:w="1344" w:type="dxa"/>
            <w:vAlign w:val="center"/>
          </w:tcPr>
          <w:p w14:paraId="27591BD6"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6.3%</w:t>
            </w:r>
          </w:p>
        </w:tc>
        <w:tc>
          <w:tcPr>
            <w:tcW w:w="1344" w:type="dxa"/>
            <w:vAlign w:val="center"/>
          </w:tcPr>
          <w:p w14:paraId="208DA108"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6.5%</w:t>
            </w:r>
          </w:p>
        </w:tc>
        <w:tc>
          <w:tcPr>
            <w:tcW w:w="1345" w:type="dxa"/>
            <w:vAlign w:val="center"/>
          </w:tcPr>
          <w:p w14:paraId="746783E6"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6.6%</w:t>
            </w:r>
          </w:p>
        </w:tc>
      </w:tr>
      <w:tr w:rsidR="003F6D20" w:rsidRPr="00EE335B" w14:paraId="59966918" w14:textId="77777777" w:rsidTr="00EE335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257" w:type="dxa"/>
            <w:shd w:val="clear" w:color="auto" w:fill="FFFFFF" w:themeFill="background1"/>
            <w:vAlign w:val="center"/>
          </w:tcPr>
          <w:p w14:paraId="12DE735F" w14:textId="77777777" w:rsidR="003F6D20" w:rsidRPr="00EE335B" w:rsidRDefault="003F6D20" w:rsidP="00EE335B">
            <w:pPr>
              <w:pStyle w:val="NoSpacing"/>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Certificate</w:t>
            </w:r>
          </w:p>
        </w:tc>
        <w:tc>
          <w:tcPr>
            <w:tcW w:w="1344" w:type="dxa"/>
            <w:shd w:val="clear" w:color="auto" w:fill="FFFFFF" w:themeFill="background1"/>
            <w:vAlign w:val="center"/>
          </w:tcPr>
          <w:p w14:paraId="7AFCB483"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1.5%</w:t>
            </w:r>
          </w:p>
        </w:tc>
        <w:tc>
          <w:tcPr>
            <w:tcW w:w="1344" w:type="dxa"/>
            <w:shd w:val="clear" w:color="auto" w:fill="FFFFFF" w:themeFill="background1"/>
            <w:vAlign w:val="center"/>
          </w:tcPr>
          <w:p w14:paraId="4BA5FDD9"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1.3%</w:t>
            </w:r>
          </w:p>
        </w:tc>
        <w:tc>
          <w:tcPr>
            <w:tcW w:w="1344" w:type="dxa"/>
            <w:shd w:val="clear" w:color="auto" w:fill="FFFFFF" w:themeFill="background1"/>
            <w:vAlign w:val="center"/>
          </w:tcPr>
          <w:p w14:paraId="3A085C34"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1.4%</w:t>
            </w:r>
          </w:p>
        </w:tc>
        <w:tc>
          <w:tcPr>
            <w:tcW w:w="1344" w:type="dxa"/>
            <w:shd w:val="clear" w:color="auto" w:fill="FFFFFF" w:themeFill="background1"/>
            <w:vAlign w:val="center"/>
          </w:tcPr>
          <w:p w14:paraId="6DC5FFB8"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1.6%</w:t>
            </w:r>
          </w:p>
        </w:tc>
        <w:tc>
          <w:tcPr>
            <w:tcW w:w="1344" w:type="dxa"/>
            <w:shd w:val="clear" w:color="auto" w:fill="FFFFFF" w:themeFill="background1"/>
            <w:vAlign w:val="center"/>
          </w:tcPr>
          <w:p w14:paraId="5FF024F6"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1.6%</w:t>
            </w:r>
          </w:p>
        </w:tc>
        <w:tc>
          <w:tcPr>
            <w:tcW w:w="1345" w:type="dxa"/>
            <w:shd w:val="clear" w:color="auto" w:fill="FFFFFF" w:themeFill="background1"/>
            <w:vAlign w:val="center"/>
          </w:tcPr>
          <w:p w14:paraId="1AC6D998"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1.6%</w:t>
            </w:r>
          </w:p>
        </w:tc>
      </w:tr>
      <w:tr w:rsidR="003F6D20" w:rsidRPr="00EE335B" w14:paraId="1EB760D6" w14:textId="77777777" w:rsidTr="00EE335B">
        <w:trPr>
          <w:trHeight w:val="397"/>
          <w:jc w:val="center"/>
        </w:trPr>
        <w:tc>
          <w:tcPr>
            <w:cnfStyle w:val="001000000000" w:firstRow="0" w:lastRow="0" w:firstColumn="1" w:lastColumn="0" w:oddVBand="0" w:evenVBand="0" w:oddHBand="0" w:evenHBand="0" w:firstRowFirstColumn="0" w:firstRowLastColumn="0" w:lastRowFirstColumn="0" w:lastRowLastColumn="0"/>
            <w:tcW w:w="1257" w:type="dxa"/>
            <w:shd w:val="clear" w:color="auto" w:fill="DAEEF3" w:themeFill="accent5" w:themeFillTint="33"/>
            <w:vAlign w:val="center"/>
          </w:tcPr>
          <w:p w14:paraId="7A4AA57E" w14:textId="77777777" w:rsidR="003F6D20" w:rsidRPr="00EE335B" w:rsidRDefault="003F6D20" w:rsidP="00EE335B">
            <w:pPr>
              <w:pStyle w:val="NoSpacing"/>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Career Objective</w:t>
            </w:r>
          </w:p>
        </w:tc>
        <w:tc>
          <w:tcPr>
            <w:tcW w:w="1344" w:type="dxa"/>
            <w:vAlign w:val="center"/>
          </w:tcPr>
          <w:p w14:paraId="1CBBC292"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10.0%</w:t>
            </w:r>
          </w:p>
        </w:tc>
        <w:tc>
          <w:tcPr>
            <w:tcW w:w="1344" w:type="dxa"/>
            <w:vAlign w:val="center"/>
          </w:tcPr>
          <w:p w14:paraId="6A240ED0"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8.4%</w:t>
            </w:r>
          </w:p>
        </w:tc>
        <w:tc>
          <w:tcPr>
            <w:tcW w:w="1344" w:type="dxa"/>
            <w:vAlign w:val="center"/>
          </w:tcPr>
          <w:p w14:paraId="04592F1D"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7.2%</w:t>
            </w:r>
          </w:p>
        </w:tc>
        <w:tc>
          <w:tcPr>
            <w:tcW w:w="1344" w:type="dxa"/>
            <w:vAlign w:val="center"/>
          </w:tcPr>
          <w:p w14:paraId="6C710E13"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6.5%</w:t>
            </w:r>
          </w:p>
        </w:tc>
        <w:tc>
          <w:tcPr>
            <w:tcW w:w="1344" w:type="dxa"/>
            <w:vAlign w:val="center"/>
          </w:tcPr>
          <w:p w14:paraId="4835E4FD"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6.1%</w:t>
            </w:r>
          </w:p>
        </w:tc>
        <w:tc>
          <w:tcPr>
            <w:tcW w:w="1345" w:type="dxa"/>
            <w:vAlign w:val="center"/>
          </w:tcPr>
          <w:p w14:paraId="569EA1F0"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6.1%</w:t>
            </w:r>
          </w:p>
        </w:tc>
      </w:tr>
      <w:tr w:rsidR="003F6D20" w:rsidRPr="00EE335B" w14:paraId="45AD0E15" w14:textId="77777777" w:rsidTr="00EE335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257" w:type="dxa"/>
            <w:shd w:val="clear" w:color="auto" w:fill="FFFFFF" w:themeFill="background1"/>
            <w:vAlign w:val="center"/>
          </w:tcPr>
          <w:p w14:paraId="7C0AB3C0" w14:textId="77777777" w:rsidR="003F6D20" w:rsidRPr="00EE335B" w:rsidRDefault="003F6D20" w:rsidP="00EE335B">
            <w:pPr>
              <w:pStyle w:val="NoSpacing"/>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Educational Development</w:t>
            </w:r>
          </w:p>
        </w:tc>
        <w:tc>
          <w:tcPr>
            <w:tcW w:w="1344" w:type="dxa"/>
            <w:shd w:val="clear" w:color="auto" w:fill="FFFFFF" w:themeFill="background1"/>
            <w:vAlign w:val="center"/>
          </w:tcPr>
          <w:p w14:paraId="419ECDED"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9.6%</w:t>
            </w:r>
          </w:p>
        </w:tc>
        <w:tc>
          <w:tcPr>
            <w:tcW w:w="1344" w:type="dxa"/>
            <w:shd w:val="clear" w:color="auto" w:fill="FFFFFF" w:themeFill="background1"/>
            <w:vAlign w:val="center"/>
          </w:tcPr>
          <w:p w14:paraId="044EDCA3"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8.1%</w:t>
            </w:r>
          </w:p>
        </w:tc>
        <w:tc>
          <w:tcPr>
            <w:tcW w:w="1344" w:type="dxa"/>
            <w:shd w:val="clear" w:color="auto" w:fill="FFFFFF" w:themeFill="background1"/>
            <w:vAlign w:val="center"/>
          </w:tcPr>
          <w:p w14:paraId="6072FD07"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6.6%</w:t>
            </w:r>
          </w:p>
        </w:tc>
        <w:tc>
          <w:tcPr>
            <w:tcW w:w="1344" w:type="dxa"/>
            <w:shd w:val="clear" w:color="auto" w:fill="FFFFFF" w:themeFill="background1"/>
            <w:vAlign w:val="center"/>
          </w:tcPr>
          <w:p w14:paraId="3661EF01"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5.8%</w:t>
            </w:r>
          </w:p>
        </w:tc>
        <w:tc>
          <w:tcPr>
            <w:tcW w:w="1344" w:type="dxa"/>
            <w:shd w:val="clear" w:color="auto" w:fill="FFFFFF" w:themeFill="background1"/>
            <w:vAlign w:val="center"/>
          </w:tcPr>
          <w:p w14:paraId="661ABDB2"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5.8%</w:t>
            </w:r>
          </w:p>
        </w:tc>
        <w:tc>
          <w:tcPr>
            <w:tcW w:w="1345" w:type="dxa"/>
            <w:shd w:val="clear" w:color="auto" w:fill="FFFFFF" w:themeFill="background1"/>
            <w:vAlign w:val="center"/>
          </w:tcPr>
          <w:p w14:paraId="2AEC48AE"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5.9%</w:t>
            </w:r>
          </w:p>
        </w:tc>
      </w:tr>
      <w:tr w:rsidR="003F6D20" w:rsidRPr="00EE335B" w14:paraId="546D7E67" w14:textId="77777777" w:rsidTr="00EE335B">
        <w:trPr>
          <w:trHeight w:val="397"/>
          <w:jc w:val="center"/>
        </w:trPr>
        <w:tc>
          <w:tcPr>
            <w:cnfStyle w:val="001000000000" w:firstRow="0" w:lastRow="0" w:firstColumn="1" w:lastColumn="0" w:oddVBand="0" w:evenVBand="0" w:oddHBand="0" w:evenHBand="0" w:firstRowFirstColumn="0" w:firstRowLastColumn="0" w:lastRowFirstColumn="0" w:lastRowLastColumn="0"/>
            <w:tcW w:w="1257" w:type="dxa"/>
            <w:shd w:val="clear" w:color="auto" w:fill="DAEEF3" w:themeFill="accent5" w:themeFillTint="33"/>
            <w:vAlign w:val="center"/>
          </w:tcPr>
          <w:p w14:paraId="1B02116D" w14:textId="77777777" w:rsidR="003F6D20" w:rsidRPr="00EE335B" w:rsidRDefault="003F6D20" w:rsidP="00EE335B">
            <w:pPr>
              <w:pStyle w:val="NoSpacing"/>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4-Yr Student Taking Classes</w:t>
            </w:r>
          </w:p>
        </w:tc>
        <w:tc>
          <w:tcPr>
            <w:tcW w:w="1344" w:type="dxa"/>
            <w:vAlign w:val="center"/>
          </w:tcPr>
          <w:p w14:paraId="39633540"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8.4%</w:t>
            </w:r>
          </w:p>
        </w:tc>
        <w:tc>
          <w:tcPr>
            <w:tcW w:w="1344" w:type="dxa"/>
            <w:vAlign w:val="center"/>
          </w:tcPr>
          <w:p w14:paraId="2DFEAA00"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8.2%</w:t>
            </w:r>
          </w:p>
        </w:tc>
        <w:tc>
          <w:tcPr>
            <w:tcW w:w="1344" w:type="dxa"/>
            <w:vAlign w:val="center"/>
          </w:tcPr>
          <w:p w14:paraId="1DCC7BFF"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7.1%</w:t>
            </w:r>
          </w:p>
        </w:tc>
        <w:tc>
          <w:tcPr>
            <w:tcW w:w="1344" w:type="dxa"/>
            <w:vAlign w:val="center"/>
          </w:tcPr>
          <w:p w14:paraId="48BDAFBE"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6.4%</w:t>
            </w:r>
          </w:p>
        </w:tc>
        <w:tc>
          <w:tcPr>
            <w:tcW w:w="1344" w:type="dxa"/>
            <w:vAlign w:val="center"/>
          </w:tcPr>
          <w:p w14:paraId="300BD827"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6.0%</w:t>
            </w:r>
          </w:p>
        </w:tc>
        <w:tc>
          <w:tcPr>
            <w:tcW w:w="1345" w:type="dxa"/>
            <w:vAlign w:val="center"/>
          </w:tcPr>
          <w:p w14:paraId="5170189F"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6.3%</w:t>
            </w:r>
          </w:p>
        </w:tc>
      </w:tr>
      <w:tr w:rsidR="003F6D20" w:rsidRPr="00EE335B" w14:paraId="4D38B96E" w14:textId="77777777" w:rsidTr="00EE335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257" w:type="dxa"/>
            <w:shd w:val="clear" w:color="auto" w:fill="FFFFFF" w:themeFill="background1"/>
            <w:vAlign w:val="center"/>
          </w:tcPr>
          <w:p w14:paraId="07970BD0" w14:textId="77777777" w:rsidR="003F6D20" w:rsidRPr="00EE335B" w:rsidRDefault="003F6D20" w:rsidP="00EE335B">
            <w:pPr>
              <w:pStyle w:val="NoSpacing"/>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Other</w:t>
            </w:r>
          </w:p>
        </w:tc>
        <w:tc>
          <w:tcPr>
            <w:tcW w:w="1344" w:type="dxa"/>
            <w:shd w:val="clear" w:color="auto" w:fill="FFFFFF" w:themeFill="background1"/>
            <w:vAlign w:val="center"/>
          </w:tcPr>
          <w:p w14:paraId="48ACEE99"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2.1%</w:t>
            </w:r>
          </w:p>
        </w:tc>
        <w:tc>
          <w:tcPr>
            <w:tcW w:w="1344" w:type="dxa"/>
            <w:shd w:val="clear" w:color="auto" w:fill="FFFFFF" w:themeFill="background1"/>
            <w:vAlign w:val="center"/>
          </w:tcPr>
          <w:p w14:paraId="2D4A3ABA"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1.6%</w:t>
            </w:r>
          </w:p>
        </w:tc>
        <w:tc>
          <w:tcPr>
            <w:tcW w:w="1344" w:type="dxa"/>
            <w:shd w:val="clear" w:color="auto" w:fill="FFFFFF" w:themeFill="background1"/>
            <w:vAlign w:val="center"/>
          </w:tcPr>
          <w:p w14:paraId="13BBAE91"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0.8%</w:t>
            </w:r>
          </w:p>
        </w:tc>
        <w:tc>
          <w:tcPr>
            <w:tcW w:w="1344" w:type="dxa"/>
            <w:shd w:val="clear" w:color="auto" w:fill="FFFFFF" w:themeFill="background1"/>
            <w:vAlign w:val="center"/>
          </w:tcPr>
          <w:p w14:paraId="22249E9C"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0.7%</w:t>
            </w:r>
          </w:p>
        </w:tc>
        <w:tc>
          <w:tcPr>
            <w:tcW w:w="1344" w:type="dxa"/>
            <w:shd w:val="clear" w:color="auto" w:fill="FFFFFF" w:themeFill="background1"/>
            <w:vAlign w:val="center"/>
          </w:tcPr>
          <w:p w14:paraId="71E58768"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0.8%</w:t>
            </w:r>
          </w:p>
        </w:tc>
        <w:tc>
          <w:tcPr>
            <w:tcW w:w="1345" w:type="dxa"/>
            <w:shd w:val="clear" w:color="auto" w:fill="FFFFFF" w:themeFill="background1"/>
            <w:vAlign w:val="center"/>
          </w:tcPr>
          <w:p w14:paraId="0D889E97"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1.1%</w:t>
            </w:r>
          </w:p>
        </w:tc>
      </w:tr>
      <w:tr w:rsidR="003F6D20" w:rsidRPr="00EE335B" w14:paraId="4A21E64F" w14:textId="77777777" w:rsidTr="00EE335B">
        <w:trPr>
          <w:trHeight w:val="397"/>
          <w:jc w:val="center"/>
        </w:trPr>
        <w:tc>
          <w:tcPr>
            <w:cnfStyle w:val="001000000000" w:firstRow="0" w:lastRow="0" w:firstColumn="1" w:lastColumn="0" w:oddVBand="0" w:evenVBand="0" w:oddHBand="0" w:evenHBand="0" w:firstRowFirstColumn="0" w:firstRowLastColumn="0" w:lastRowFirstColumn="0" w:lastRowLastColumn="0"/>
            <w:tcW w:w="1257" w:type="dxa"/>
            <w:shd w:val="clear" w:color="auto" w:fill="DAEEF3" w:themeFill="accent5" w:themeFillTint="33"/>
            <w:vAlign w:val="center"/>
          </w:tcPr>
          <w:p w14:paraId="142EA21B" w14:textId="77777777" w:rsidR="003F6D20" w:rsidRPr="00EE335B" w:rsidRDefault="003F6D20" w:rsidP="00EE335B">
            <w:pPr>
              <w:pStyle w:val="NoSpacing"/>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Undecided</w:t>
            </w:r>
          </w:p>
        </w:tc>
        <w:tc>
          <w:tcPr>
            <w:tcW w:w="1344" w:type="dxa"/>
            <w:vAlign w:val="center"/>
          </w:tcPr>
          <w:p w14:paraId="5C0DA3EC"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8.3%</w:t>
            </w:r>
          </w:p>
        </w:tc>
        <w:tc>
          <w:tcPr>
            <w:tcW w:w="1344" w:type="dxa"/>
            <w:vAlign w:val="center"/>
          </w:tcPr>
          <w:p w14:paraId="125684D5"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7.4%</w:t>
            </w:r>
          </w:p>
        </w:tc>
        <w:tc>
          <w:tcPr>
            <w:tcW w:w="1344" w:type="dxa"/>
            <w:vAlign w:val="center"/>
          </w:tcPr>
          <w:p w14:paraId="1C3288AB"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6.2%</w:t>
            </w:r>
          </w:p>
        </w:tc>
        <w:tc>
          <w:tcPr>
            <w:tcW w:w="1344" w:type="dxa"/>
            <w:vAlign w:val="center"/>
          </w:tcPr>
          <w:p w14:paraId="59B1BED1"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5.3%</w:t>
            </w:r>
          </w:p>
        </w:tc>
        <w:tc>
          <w:tcPr>
            <w:tcW w:w="1344" w:type="dxa"/>
            <w:vAlign w:val="center"/>
          </w:tcPr>
          <w:p w14:paraId="12F248B2"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5.2%</w:t>
            </w:r>
          </w:p>
        </w:tc>
        <w:tc>
          <w:tcPr>
            <w:tcW w:w="1345" w:type="dxa"/>
            <w:vAlign w:val="center"/>
          </w:tcPr>
          <w:p w14:paraId="73DB964C"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5.2%</w:t>
            </w:r>
          </w:p>
        </w:tc>
      </w:tr>
      <w:tr w:rsidR="003F6D20" w:rsidRPr="00EE335B" w14:paraId="5CA7A866" w14:textId="77777777" w:rsidTr="00EE335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257" w:type="dxa"/>
            <w:tcBorders>
              <w:top w:val="single" w:sz="4" w:space="0" w:color="auto"/>
              <w:bottom w:val="single" w:sz="4" w:space="0" w:color="auto"/>
            </w:tcBorders>
            <w:shd w:val="clear" w:color="auto" w:fill="FFFFFF" w:themeFill="background1"/>
            <w:vAlign w:val="center"/>
          </w:tcPr>
          <w:p w14:paraId="118D328E" w14:textId="77777777" w:rsidR="003F6D20" w:rsidRPr="00EE335B" w:rsidRDefault="003F6D20" w:rsidP="00EE335B">
            <w:pPr>
              <w:rPr>
                <w:rFonts w:cs="Times New Roman"/>
                <w:b w:val="0"/>
                <w:color w:val="215868" w:themeColor="accent5" w:themeShade="80"/>
                <w:sz w:val="14"/>
              </w:rPr>
            </w:pPr>
            <w:r w:rsidRPr="00EE335B">
              <w:rPr>
                <w:rFonts w:cs="Times New Roman"/>
                <w:b w:val="0"/>
                <w:color w:val="215868" w:themeColor="accent5" w:themeShade="80"/>
                <w:sz w:val="14"/>
              </w:rPr>
              <w:t>Total</w:t>
            </w:r>
          </w:p>
        </w:tc>
        <w:tc>
          <w:tcPr>
            <w:tcW w:w="1344" w:type="dxa"/>
            <w:tcBorders>
              <w:top w:val="single" w:sz="4" w:space="0" w:color="auto"/>
              <w:bottom w:val="single" w:sz="4" w:space="0" w:color="auto"/>
            </w:tcBorders>
            <w:shd w:val="clear" w:color="auto" w:fill="FFFFFF" w:themeFill="background1"/>
            <w:vAlign w:val="center"/>
          </w:tcPr>
          <w:p w14:paraId="70D91A7E"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4" w:type="dxa"/>
            <w:tcBorders>
              <w:top w:val="single" w:sz="4" w:space="0" w:color="auto"/>
              <w:bottom w:val="single" w:sz="4" w:space="0" w:color="auto"/>
            </w:tcBorders>
            <w:shd w:val="clear" w:color="auto" w:fill="FFFFFF" w:themeFill="background1"/>
            <w:vAlign w:val="center"/>
          </w:tcPr>
          <w:p w14:paraId="53DA5AB8"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4" w:type="dxa"/>
            <w:tcBorders>
              <w:top w:val="single" w:sz="4" w:space="0" w:color="auto"/>
              <w:bottom w:val="single" w:sz="4" w:space="0" w:color="auto"/>
            </w:tcBorders>
            <w:shd w:val="clear" w:color="auto" w:fill="FFFFFF" w:themeFill="background1"/>
            <w:vAlign w:val="center"/>
          </w:tcPr>
          <w:p w14:paraId="7AD723ED"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4" w:type="dxa"/>
            <w:tcBorders>
              <w:top w:val="single" w:sz="4" w:space="0" w:color="auto"/>
              <w:bottom w:val="single" w:sz="4" w:space="0" w:color="auto"/>
            </w:tcBorders>
            <w:shd w:val="clear" w:color="auto" w:fill="FFFFFF" w:themeFill="background1"/>
            <w:vAlign w:val="center"/>
          </w:tcPr>
          <w:p w14:paraId="2A8A2832"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4" w:type="dxa"/>
            <w:tcBorders>
              <w:top w:val="single" w:sz="4" w:space="0" w:color="auto"/>
              <w:bottom w:val="single" w:sz="4" w:space="0" w:color="auto"/>
            </w:tcBorders>
            <w:shd w:val="clear" w:color="auto" w:fill="FFFFFF" w:themeFill="background1"/>
            <w:vAlign w:val="center"/>
          </w:tcPr>
          <w:p w14:paraId="1134CBA0"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345" w:type="dxa"/>
            <w:tcBorders>
              <w:top w:val="single" w:sz="4" w:space="0" w:color="auto"/>
              <w:bottom w:val="single" w:sz="4" w:space="0" w:color="auto"/>
            </w:tcBorders>
            <w:shd w:val="clear" w:color="auto" w:fill="FFFFFF" w:themeFill="background1"/>
            <w:vAlign w:val="center"/>
          </w:tcPr>
          <w:p w14:paraId="31747B37"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r>
    </w:tbl>
    <w:p w14:paraId="26F42C78" w14:textId="77777777" w:rsidR="003F6D20" w:rsidRPr="00EE335B" w:rsidRDefault="003F6D20" w:rsidP="003F6D20">
      <w:pPr>
        <w:rPr>
          <w:rFonts w:cs="Times New Roman"/>
          <w:sz w:val="20"/>
        </w:rPr>
      </w:pPr>
      <w:r w:rsidRPr="00EE335B">
        <w:rPr>
          <w:rFonts w:cs="Times New Roman"/>
          <w:i/>
          <w:sz w:val="14"/>
        </w:rPr>
        <w:t xml:space="preserve">Source: Management Information System (MIS); Educational goal is identified based on a students’ most recently reported goal in an academic year </w:t>
      </w:r>
    </w:p>
    <w:p w14:paraId="005AC227" w14:textId="77777777" w:rsidR="003F6D20" w:rsidRPr="00EE335B" w:rsidRDefault="003F6D20" w:rsidP="003D4C4D">
      <w:pPr>
        <w:pStyle w:val="Heading4"/>
      </w:pPr>
      <w:r w:rsidRPr="00EE335B">
        <w:t>College Preparedness</w:t>
      </w:r>
    </w:p>
    <w:p w14:paraId="34D6FB61" w14:textId="77777777" w:rsidR="003F6D20" w:rsidRPr="00EE335B" w:rsidRDefault="003F6D20" w:rsidP="00B71792">
      <w:pPr>
        <w:pStyle w:val="Normalwithspacebetween"/>
      </w:pPr>
      <w:r w:rsidRPr="00EE335B">
        <w:t>Santa Monica College utilizes College Board’s ACCUPLACER and ACT’s Compass assessment tests to place students into English and math courses, respectively. Over the past six years, the proportion of first-time freshmen in fall semesters who placed into pre-collegiate English courses has remained relatively constant. Approximately two-thirds of first-time freshmen were assessed as not being “college-ready” in terms of their English skills.</w:t>
      </w:r>
    </w:p>
    <w:p w14:paraId="36768E55" w14:textId="77777777" w:rsidR="003F6D20" w:rsidRPr="00EE335B" w:rsidRDefault="003F6D20" w:rsidP="003F6D20">
      <w:pPr>
        <w:jc w:val="center"/>
        <w:rPr>
          <w:rFonts w:cs="Times New Roman"/>
          <w:sz w:val="20"/>
        </w:rPr>
      </w:pPr>
      <w:r w:rsidRPr="00EE335B">
        <w:rPr>
          <w:rFonts w:cs="Times New Roman"/>
          <w:noProof/>
          <w:sz w:val="20"/>
        </w:rPr>
        <w:lastRenderedPageBreak/>
        <w:drawing>
          <wp:inline distT="0" distB="0" distL="0" distR="0" wp14:anchorId="302ADA6E" wp14:editId="770A8433">
            <wp:extent cx="5501005" cy="2584174"/>
            <wp:effectExtent l="0" t="0" r="4445" b="698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D3F2FC9" w14:textId="77777777" w:rsidR="003F6D20" w:rsidRPr="00EE335B" w:rsidRDefault="003F6D20" w:rsidP="003F6D20">
      <w:pPr>
        <w:rPr>
          <w:rFonts w:cs="Times New Roman"/>
          <w:i/>
          <w:sz w:val="14"/>
        </w:rPr>
      </w:pPr>
      <w:r w:rsidRPr="00EE335B">
        <w:rPr>
          <w:rFonts w:cs="Times New Roman"/>
          <w:i/>
          <w:sz w:val="14"/>
        </w:rPr>
        <w:t>Source: Management Information System (MIS) and Santa Monica College’s Student Information System; The most recent placement event before the first two weeks of the first fall semester were used to determine first-time freshmen’s English preparedness level.</w:t>
      </w:r>
    </w:p>
    <w:p w14:paraId="6F0176EF" w14:textId="1B7D21F5" w:rsidR="003F6D20" w:rsidRPr="00EE335B" w:rsidRDefault="003F6D20" w:rsidP="00B71792">
      <w:pPr>
        <w:pStyle w:val="Normalwithspacebetween"/>
        <w:rPr>
          <w:i/>
          <w:sz w:val="14"/>
        </w:rPr>
      </w:pPr>
      <w:r w:rsidRPr="00EE335B">
        <w:t xml:space="preserve">The percentages </w:t>
      </w:r>
      <w:r w:rsidR="007C3E4E">
        <w:t>o</w:t>
      </w:r>
      <w:r w:rsidRPr="00EE335B">
        <w:t>f first-time college students placing into the higher-level math levels, transferable and degree applicable but not nontransferable, have increased by 3.4</w:t>
      </w:r>
      <w:r w:rsidR="00B5133B">
        <w:t xml:space="preserve"> percent</w:t>
      </w:r>
      <w:r w:rsidRPr="00EE335B">
        <w:t xml:space="preserve"> and 0.9</w:t>
      </w:r>
      <w:r w:rsidR="00B5133B">
        <w:t xml:space="preserve"> percent</w:t>
      </w:r>
      <w:r w:rsidRPr="00EE335B">
        <w:t>, respectively. The largest proportion of incoming students place into basic skills math courses (more than half).</w:t>
      </w:r>
    </w:p>
    <w:p w14:paraId="263C9374" w14:textId="77777777" w:rsidR="003F6D20" w:rsidRPr="00EE335B" w:rsidRDefault="003F6D20" w:rsidP="003F6D20">
      <w:pPr>
        <w:jc w:val="center"/>
        <w:rPr>
          <w:rFonts w:cs="Times New Roman"/>
          <w:sz w:val="20"/>
        </w:rPr>
      </w:pPr>
      <w:r w:rsidRPr="00EE335B">
        <w:rPr>
          <w:rFonts w:cs="Times New Roman"/>
          <w:noProof/>
          <w:sz w:val="20"/>
        </w:rPr>
        <w:drawing>
          <wp:inline distT="0" distB="0" distL="0" distR="0" wp14:anchorId="697E9B5A" wp14:editId="391AAB3B">
            <wp:extent cx="5501005" cy="2560320"/>
            <wp:effectExtent l="0" t="0" r="4445" b="1143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CF1A0E1" w14:textId="77777777" w:rsidR="003F6D20" w:rsidRPr="00EE335B" w:rsidRDefault="003F6D20" w:rsidP="003F6D20">
      <w:pPr>
        <w:rPr>
          <w:rFonts w:cs="Times New Roman"/>
          <w:sz w:val="20"/>
        </w:rPr>
      </w:pPr>
      <w:r w:rsidRPr="00EE335B">
        <w:rPr>
          <w:rFonts w:cs="Times New Roman"/>
          <w:i/>
          <w:sz w:val="14"/>
        </w:rPr>
        <w:t>Source: Management Information System (MIS) and Santa Monica College’s Student Information System; The most recent placement event before the first two weeks of the first fall semester were used to determine first-time freshmen’s math preparedness level.</w:t>
      </w:r>
    </w:p>
    <w:p w14:paraId="45723E29" w14:textId="1C2D0648" w:rsidR="003F6D20" w:rsidRPr="00EE335B" w:rsidRDefault="003F6D20" w:rsidP="003D4C4D">
      <w:pPr>
        <w:pStyle w:val="Heading1"/>
      </w:pPr>
      <w:r w:rsidRPr="00EE335B">
        <w:t>Description of District Area</w:t>
      </w:r>
    </w:p>
    <w:p w14:paraId="4AC77C91" w14:textId="77777777" w:rsidR="003F6D20" w:rsidRPr="00EE335B" w:rsidRDefault="003F6D20" w:rsidP="003D4C4D">
      <w:pPr>
        <w:pStyle w:val="Heading3"/>
      </w:pPr>
      <w:r w:rsidRPr="00EE335B">
        <w:t>Demographics of District Area</w:t>
      </w:r>
    </w:p>
    <w:p w14:paraId="6202A010" w14:textId="77777777" w:rsidR="003F6D20" w:rsidRPr="00EE335B" w:rsidRDefault="003F6D20" w:rsidP="00B71792">
      <w:pPr>
        <w:pStyle w:val="Normalwithspacebetween"/>
      </w:pPr>
      <w:r w:rsidRPr="00EE335B">
        <w:t>Santa Monica College’s official district area includes the cities of Santa Monica and Malibu. The current section provides a description of the district area population, including gender, ethnicity/race, age, educational attainment, and income levels. The district area data were obtained from the 2014 American Community Survey (the United States Census Bureau).</w:t>
      </w:r>
    </w:p>
    <w:p w14:paraId="7B3B8D2B" w14:textId="77777777" w:rsidR="003F6D20" w:rsidRPr="00EE335B" w:rsidRDefault="003F6D20" w:rsidP="003D4C4D">
      <w:pPr>
        <w:pStyle w:val="Heading4"/>
      </w:pPr>
      <w:r w:rsidRPr="00EE335B">
        <w:lastRenderedPageBreak/>
        <w:t>Gender</w:t>
      </w:r>
    </w:p>
    <w:p w14:paraId="36A39CF6" w14:textId="00154B13" w:rsidR="003F6D20" w:rsidRPr="00EE335B" w:rsidRDefault="003F6D20" w:rsidP="00B71792">
      <w:pPr>
        <w:pStyle w:val="Normalwithspacebetween"/>
      </w:pPr>
      <w:r w:rsidRPr="00EE335B">
        <w:t>Disproportionately more of the district area population reported being female (52.1</w:t>
      </w:r>
      <w:r w:rsidR="00B5133B">
        <w:t xml:space="preserve"> percent</w:t>
      </w:r>
      <w:r w:rsidRPr="00EE335B">
        <w:t>) than male (47.9</w:t>
      </w:r>
      <w:r w:rsidR="00B5133B">
        <w:t xml:space="preserve"> percent</w:t>
      </w:r>
      <w:r w:rsidRPr="00EE335B">
        <w:t>), however, the difference is not large.</w:t>
      </w:r>
    </w:p>
    <w:p w14:paraId="3DC96A66" w14:textId="77777777" w:rsidR="003F6D20" w:rsidRPr="00EE335B" w:rsidRDefault="003F6D20" w:rsidP="003F6D20">
      <w:pPr>
        <w:jc w:val="center"/>
        <w:rPr>
          <w:rFonts w:cs="Times New Roman"/>
          <w:sz w:val="20"/>
        </w:rPr>
      </w:pPr>
      <w:r w:rsidRPr="00EE335B">
        <w:rPr>
          <w:rFonts w:cs="Times New Roman"/>
          <w:sz w:val="20"/>
        </w:rPr>
        <w:t>District Area Population Gender (2014)</w:t>
      </w:r>
    </w:p>
    <w:tbl>
      <w:tblPr>
        <w:tblStyle w:val="GridTable5Dark-Accent51"/>
        <w:tblW w:w="6864" w:type="dxa"/>
        <w:jc w:val="center"/>
        <w:tblLook w:val="04A0" w:firstRow="1" w:lastRow="0" w:firstColumn="1" w:lastColumn="0" w:noHBand="0" w:noVBand="1"/>
      </w:tblPr>
      <w:tblGrid>
        <w:gridCol w:w="1632"/>
        <w:gridCol w:w="1744"/>
        <w:gridCol w:w="1744"/>
        <w:gridCol w:w="1744"/>
      </w:tblGrid>
      <w:tr w:rsidR="003F6D20" w:rsidRPr="00EE335B" w14:paraId="34FC9158" w14:textId="77777777" w:rsidTr="00EE335B">
        <w:trPr>
          <w:cnfStyle w:val="100000000000" w:firstRow="1" w:lastRow="0" w:firstColumn="0" w:lastColumn="0" w:oddVBand="0" w:evenVBand="0" w:oddHBand="0"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1632" w:type="dxa"/>
            <w:tcBorders>
              <w:top w:val="nil"/>
              <w:left w:val="nil"/>
              <w:bottom w:val="nil"/>
            </w:tcBorders>
          </w:tcPr>
          <w:p w14:paraId="7303AD82" w14:textId="77777777" w:rsidR="003F6D20" w:rsidRPr="00EE335B" w:rsidRDefault="003F6D20" w:rsidP="00EE335B">
            <w:pPr>
              <w:rPr>
                <w:rFonts w:cs="Times New Roman"/>
                <w:b w:val="0"/>
                <w:sz w:val="16"/>
              </w:rPr>
            </w:pPr>
          </w:p>
        </w:tc>
        <w:tc>
          <w:tcPr>
            <w:tcW w:w="1744" w:type="dxa"/>
            <w:tcBorders>
              <w:top w:val="nil"/>
              <w:bottom w:val="nil"/>
            </w:tcBorders>
          </w:tcPr>
          <w:p w14:paraId="6F2447FD"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City of Santa Monica               (N = 91,619)</w:t>
            </w:r>
          </w:p>
        </w:tc>
        <w:tc>
          <w:tcPr>
            <w:tcW w:w="1744" w:type="dxa"/>
            <w:tcBorders>
              <w:top w:val="nil"/>
              <w:bottom w:val="nil"/>
            </w:tcBorders>
          </w:tcPr>
          <w:p w14:paraId="5DEAA72D"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City of Malibu</w:t>
            </w:r>
            <w:r w:rsidRPr="00EE335B">
              <w:rPr>
                <w:rFonts w:ascii="Times New Roman" w:hAnsi="Times New Roman" w:cs="Times New Roman"/>
                <w:b w:val="0"/>
                <w:sz w:val="14"/>
              </w:rPr>
              <w:br/>
              <w:t>(N = 12,830)</w:t>
            </w:r>
          </w:p>
        </w:tc>
        <w:tc>
          <w:tcPr>
            <w:tcW w:w="1744" w:type="dxa"/>
            <w:tcBorders>
              <w:top w:val="nil"/>
              <w:bottom w:val="nil"/>
            </w:tcBorders>
          </w:tcPr>
          <w:p w14:paraId="0E1C4357"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Total District Area</w:t>
            </w:r>
          </w:p>
          <w:p w14:paraId="6D5019D9"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104,449)</w:t>
            </w:r>
          </w:p>
        </w:tc>
      </w:tr>
      <w:tr w:rsidR="003F6D20" w:rsidRPr="00EE335B" w14:paraId="1FBDB190" w14:textId="77777777" w:rsidTr="00EE335B">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1632" w:type="dxa"/>
            <w:tcBorders>
              <w:top w:val="nil"/>
              <w:bottom w:val="single" w:sz="4" w:space="0" w:color="FFFFFF" w:themeColor="background1"/>
            </w:tcBorders>
            <w:shd w:val="clear" w:color="auto" w:fill="auto"/>
            <w:vAlign w:val="center"/>
          </w:tcPr>
          <w:p w14:paraId="5860AC04" w14:textId="77777777" w:rsidR="003F6D20" w:rsidRPr="00EE335B" w:rsidRDefault="003F6D20" w:rsidP="00EE335B">
            <w:pPr>
              <w:pStyle w:val="NoSpacing"/>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Female</w:t>
            </w:r>
          </w:p>
        </w:tc>
        <w:tc>
          <w:tcPr>
            <w:tcW w:w="1744" w:type="dxa"/>
            <w:tcBorders>
              <w:top w:val="nil"/>
            </w:tcBorders>
            <w:shd w:val="clear" w:color="auto" w:fill="FFFFFF" w:themeFill="background1"/>
            <w:vAlign w:val="center"/>
          </w:tcPr>
          <w:p w14:paraId="0FB4077F"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52.2%</w:t>
            </w:r>
          </w:p>
        </w:tc>
        <w:tc>
          <w:tcPr>
            <w:tcW w:w="1744" w:type="dxa"/>
            <w:tcBorders>
              <w:top w:val="nil"/>
            </w:tcBorders>
            <w:shd w:val="clear" w:color="auto" w:fill="FFFFFF" w:themeFill="background1"/>
            <w:vAlign w:val="center"/>
          </w:tcPr>
          <w:p w14:paraId="08905826"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51.2%</w:t>
            </w:r>
          </w:p>
        </w:tc>
        <w:tc>
          <w:tcPr>
            <w:tcW w:w="1744" w:type="dxa"/>
            <w:tcBorders>
              <w:top w:val="nil"/>
            </w:tcBorders>
            <w:shd w:val="clear" w:color="auto" w:fill="FFFFFF" w:themeFill="background1"/>
            <w:vAlign w:val="center"/>
          </w:tcPr>
          <w:p w14:paraId="24926872"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52.1%</w:t>
            </w:r>
          </w:p>
        </w:tc>
      </w:tr>
      <w:tr w:rsidR="003F6D20" w:rsidRPr="00EE335B" w14:paraId="23647B4B" w14:textId="77777777" w:rsidTr="00EE335B">
        <w:trPr>
          <w:trHeight w:val="334"/>
          <w:jc w:val="center"/>
        </w:trPr>
        <w:tc>
          <w:tcPr>
            <w:cnfStyle w:val="001000000000" w:firstRow="0" w:lastRow="0" w:firstColumn="1" w:lastColumn="0" w:oddVBand="0" w:evenVBand="0" w:oddHBand="0" w:evenHBand="0" w:firstRowFirstColumn="0" w:firstRowLastColumn="0" w:lastRowFirstColumn="0" w:lastRowLastColumn="0"/>
            <w:tcW w:w="1632" w:type="dxa"/>
            <w:tcBorders>
              <w:bottom w:val="single" w:sz="4" w:space="0" w:color="auto"/>
            </w:tcBorders>
            <w:shd w:val="clear" w:color="auto" w:fill="DAEEF3" w:themeFill="accent5" w:themeFillTint="33"/>
            <w:vAlign w:val="center"/>
          </w:tcPr>
          <w:p w14:paraId="4B51941D" w14:textId="77777777" w:rsidR="003F6D20" w:rsidRPr="00EE335B" w:rsidRDefault="003F6D20" w:rsidP="00EE335B">
            <w:pPr>
              <w:pStyle w:val="NoSpacing"/>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Male</w:t>
            </w:r>
          </w:p>
        </w:tc>
        <w:tc>
          <w:tcPr>
            <w:tcW w:w="1744" w:type="dxa"/>
            <w:vAlign w:val="center"/>
          </w:tcPr>
          <w:p w14:paraId="13ABFC39"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47.8%</w:t>
            </w:r>
          </w:p>
        </w:tc>
        <w:tc>
          <w:tcPr>
            <w:tcW w:w="1744" w:type="dxa"/>
            <w:vAlign w:val="center"/>
          </w:tcPr>
          <w:p w14:paraId="47F7C876"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48.8%</w:t>
            </w:r>
          </w:p>
        </w:tc>
        <w:tc>
          <w:tcPr>
            <w:tcW w:w="1744" w:type="dxa"/>
            <w:vAlign w:val="center"/>
          </w:tcPr>
          <w:p w14:paraId="07D221B9"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47.9%</w:t>
            </w:r>
          </w:p>
        </w:tc>
      </w:tr>
      <w:tr w:rsidR="003F6D20" w:rsidRPr="00EE335B" w14:paraId="18BFBB08" w14:textId="77777777" w:rsidTr="00EE335B">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1632" w:type="dxa"/>
            <w:tcBorders>
              <w:top w:val="single" w:sz="4" w:space="0" w:color="auto"/>
              <w:bottom w:val="single" w:sz="4" w:space="0" w:color="auto"/>
            </w:tcBorders>
            <w:shd w:val="clear" w:color="auto" w:fill="FFFFFF" w:themeFill="background1"/>
            <w:vAlign w:val="center"/>
          </w:tcPr>
          <w:p w14:paraId="60DAB1DA" w14:textId="77777777" w:rsidR="003F6D20" w:rsidRPr="00EE335B" w:rsidRDefault="003F6D20" w:rsidP="00EE335B">
            <w:pPr>
              <w:rPr>
                <w:rFonts w:cs="Times New Roman"/>
                <w:b w:val="0"/>
                <w:color w:val="215868" w:themeColor="accent5" w:themeShade="80"/>
                <w:sz w:val="14"/>
              </w:rPr>
            </w:pPr>
            <w:r w:rsidRPr="00EE335B">
              <w:rPr>
                <w:rFonts w:cs="Times New Roman"/>
                <w:b w:val="0"/>
                <w:color w:val="215868" w:themeColor="accent5" w:themeShade="80"/>
                <w:sz w:val="14"/>
              </w:rPr>
              <w:t>Total</w:t>
            </w:r>
          </w:p>
        </w:tc>
        <w:tc>
          <w:tcPr>
            <w:tcW w:w="1744" w:type="dxa"/>
            <w:tcBorders>
              <w:top w:val="single" w:sz="4" w:space="0" w:color="auto"/>
              <w:bottom w:val="single" w:sz="4" w:space="0" w:color="auto"/>
            </w:tcBorders>
            <w:shd w:val="clear" w:color="auto" w:fill="FFFFFF" w:themeFill="background1"/>
            <w:vAlign w:val="center"/>
          </w:tcPr>
          <w:p w14:paraId="40E5EE95"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744" w:type="dxa"/>
            <w:tcBorders>
              <w:top w:val="single" w:sz="4" w:space="0" w:color="auto"/>
              <w:bottom w:val="single" w:sz="4" w:space="0" w:color="auto"/>
            </w:tcBorders>
            <w:shd w:val="clear" w:color="auto" w:fill="FFFFFF" w:themeFill="background1"/>
            <w:vAlign w:val="center"/>
          </w:tcPr>
          <w:p w14:paraId="4FFEA3AB"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744" w:type="dxa"/>
            <w:tcBorders>
              <w:top w:val="single" w:sz="4" w:space="0" w:color="auto"/>
              <w:bottom w:val="single" w:sz="4" w:space="0" w:color="auto"/>
            </w:tcBorders>
            <w:shd w:val="clear" w:color="auto" w:fill="FFFFFF" w:themeFill="background1"/>
            <w:vAlign w:val="center"/>
          </w:tcPr>
          <w:p w14:paraId="76D9B348"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r>
    </w:tbl>
    <w:p w14:paraId="0E76EEB6" w14:textId="77777777" w:rsidR="003F6D20" w:rsidRDefault="003F6D20" w:rsidP="003F6D20">
      <w:pPr>
        <w:rPr>
          <w:rFonts w:cs="Times New Roman"/>
          <w:i/>
          <w:sz w:val="14"/>
        </w:rPr>
      </w:pPr>
      <w:r w:rsidRPr="00EE335B">
        <w:rPr>
          <w:rFonts w:cs="Times New Roman"/>
          <w:i/>
          <w:sz w:val="14"/>
        </w:rPr>
        <w:t>Source: 2014 American Community Survey (Census)</w:t>
      </w:r>
    </w:p>
    <w:p w14:paraId="7D3AD95B" w14:textId="77777777" w:rsidR="001C65FC" w:rsidRPr="00EE335B" w:rsidRDefault="001C65FC" w:rsidP="003F6D20">
      <w:pPr>
        <w:rPr>
          <w:rFonts w:cs="Times New Roman"/>
          <w:sz w:val="20"/>
        </w:rPr>
      </w:pPr>
    </w:p>
    <w:p w14:paraId="23C13FDE" w14:textId="77777777" w:rsidR="003F6D20" w:rsidRPr="00EE335B" w:rsidRDefault="003F6D20" w:rsidP="003D4C4D">
      <w:pPr>
        <w:pStyle w:val="Heading4"/>
      </w:pPr>
      <w:r w:rsidRPr="00EE335B">
        <w:t>Ethnicity/Race</w:t>
      </w:r>
    </w:p>
    <w:p w14:paraId="47BBDB0D" w14:textId="5127E5B8" w:rsidR="003F6D20" w:rsidRDefault="003F6D20" w:rsidP="00B71792">
      <w:pPr>
        <w:pStyle w:val="Normalwithspacebetween"/>
      </w:pPr>
      <w:r w:rsidRPr="00EE335B">
        <w:t>A large majority of the district area population, approximately seven in ten, identified as being from the “White” ethnic/race group. Disproportionately more of the population in Malibu identified as being White (83.6</w:t>
      </w:r>
      <w:r w:rsidR="00B5133B">
        <w:t xml:space="preserve"> percent</w:t>
      </w:r>
      <w:r w:rsidRPr="00EE335B">
        <w:t>) when compared to the population in Santa Monica (68.0</w:t>
      </w:r>
      <w:r w:rsidR="00B5133B">
        <w:t xml:space="preserve"> percent</w:t>
      </w:r>
      <w:r w:rsidRPr="00EE335B">
        <w:t>). The second largest ethnicity/race group in the district area population identified as “Hispanic”, with a larger proportion of the population in Santa Monica belonging to this group (14.5</w:t>
      </w:r>
      <w:r w:rsidR="00B5133B">
        <w:t xml:space="preserve"> percent</w:t>
      </w:r>
      <w:r w:rsidRPr="00EE335B">
        <w:t>) when compared to Malibu (7.4</w:t>
      </w:r>
      <w:r w:rsidR="00B5133B">
        <w:t xml:space="preserve"> percent</w:t>
      </w:r>
      <w:r w:rsidRPr="00EE335B">
        <w:t>). Asian/Pacific Islanders represented the third largest ethnicity/race group in the district area population (9.0</w:t>
      </w:r>
      <w:r w:rsidR="00B5133B">
        <w:t xml:space="preserve"> percent</w:t>
      </w:r>
      <w:r w:rsidRPr="00EE335B">
        <w:t>), with a larger proportion of the population in Santa Monica belonging to this group (9.7</w:t>
      </w:r>
      <w:r w:rsidR="00B5133B">
        <w:t xml:space="preserve"> percent</w:t>
      </w:r>
      <w:r w:rsidRPr="00EE335B">
        <w:t>) when compared to Malibu (4.7</w:t>
      </w:r>
      <w:r w:rsidR="00B5133B">
        <w:t xml:space="preserve"> percent</w:t>
      </w:r>
      <w:r w:rsidRPr="00EE335B">
        <w:t>). All remaining groups accounted for 7.3</w:t>
      </w:r>
      <w:r w:rsidR="00B5133B">
        <w:t xml:space="preserve"> percent</w:t>
      </w:r>
      <w:r w:rsidRPr="00EE335B">
        <w:t xml:space="preserve"> of the district area population (when combined).</w:t>
      </w:r>
    </w:p>
    <w:p w14:paraId="0CCF4C6E" w14:textId="77777777" w:rsidR="003F6D20" w:rsidRPr="00EE335B" w:rsidRDefault="003F6D20" w:rsidP="00B5133B">
      <w:pPr>
        <w:keepNext/>
        <w:keepLines/>
        <w:jc w:val="center"/>
        <w:rPr>
          <w:rFonts w:cs="Times New Roman"/>
          <w:sz w:val="20"/>
        </w:rPr>
      </w:pPr>
      <w:r w:rsidRPr="00EE335B">
        <w:rPr>
          <w:rFonts w:cs="Times New Roman"/>
          <w:sz w:val="20"/>
        </w:rPr>
        <w:t>District Area Population Ethnicity/Race (2014)</w:t>
      </w:r>
    </w:p>
    <w:tbl>
      <w:tblPr>
        <w:tblStyle w:val="GridTable5Dark-Accent51"/>
        <w:tblW w:w="6864" w:type="dxa"/>
        <w:jc w:val="center"/>
        <w:tblLook w:val="04A0" w:firstRow="1" w:lastRow="0" w:firstColumn="1" w:lastColumn="0" w:noHBand="0" w:noVBand="1"/>
      </w:tblPr>
      <w:tblGrid>
        <w:gridCol w:w="1632"/>
        <w:gridCol w:w="1744"/>
        <w:gridCol w:w="1744"/>
        <w:gridCol w:w="1744"/>
      </w:tblGrid>
      <w:tr w:rsidR="003F6D20" w:rsidRPr="00EE335B" w14:paraId="19E85A1D" w14:textId="77777777" w:rsidTr="00EE335B">
        <w:trPr>
          <w:cnfStyle w:val="100000000000" w:firstRow="1" w:lastRow="0" w:firstColumn="0" w:lastColumn="0" w:oddVBand="0" w:evenVBand="0" w:oddHBand="0"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1632" w:type="dxa"/>
            <w:tcBorders>
              <w:top w:val="nil"/>
              <w:left w:val="nil"/>
              <w:bottom w:val="nil"/>
            </w:tcBorders>
          </w:tcPr>
          <w:p w14:paraId="07B3CF1D" w14:textId="77777777" w:rsidR="003F6D20" w:rsidRPr="00EE335B" w:rsidRDefault="003F6D20" w:rsidP="00B5133B">
            <w:pPr>
              <w:keepNext/>
              <w:keepLines/>
              <w:rPr>
                <w:rFonts w:cs="Times New Roman"/>
                <w:b w:val="0"/>
                <w:sz w:val="16"/>
              </w:rPr>
            </w:pPr>
          </w:p>
        </w:tc>
        <w:tc>
          <w:tcPr>
            <w:tcW w:w="1744" w:type="dxa"/>
            <w:tcBorders>
              <w:top w:val="nil"/>
              <w:bottom w:val="nil"/>
            </w:tcBorders>
          </w:tcPr>
          <w:p w14:paraId="181D3306" w14:textId="77777777" w:rsidR="003F6D20" w:rsidRPr="00EE335B" w:rsidRDefault="003F6D20" w:rsidP="00B5133B">
            <w:pPr>
              <w:pStyle w:val="NoSpacing"/>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City of Santa Monica               (N = 91,619)</w:t>
            </w:r>
          </w:p>
        </w:tc>
        <w:tc>
          <w:tcPr>
            <w:tcW w:w="1744" w:type="dxa"/>
            <w:tcBorders>
              <w:top w:val="nil"/>
              <w:bottom w:val="nil"/>
            </w:tcBorders>
          </w:tcPr>
          <w:p w14:paraId="333B3C74" w14:textId="77777777" w:rsidR="003F6D20" w:rsidRPr="00EE335B" w:rsidRDefault="003F6D20" w:rsidP="00B5133B">
            <w:pPr>
              <w:pStyle w:val="NoSpacing"/>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City of Malibu</w:t>
            </w:r>
            <w:r w:rsidRPr="00EE335B">
              <w:rPr>
                <w:rFonts w:ascii="Times New Roman" w:hAnsi="Times New Roman" w:cs="Times New Roman"/>
                <w:b w:val="0"/>
                <w:sz w:val="14"/>
              </w:rPr>
              <w:br/>
              <w:t>(N = 12,830)</w:t>
            </w:r>
          </w:p>
        </w:tc>
        <w:tc>
          <w:tcPr>
            <w:tcW w:w="1744" w:type="dxa"/>
            <w:tcBorders>
              <w:top w:val="nil"/>
              <w:bottom w:val="nil"/>
            </w:tcBorders>
          </w:tcPr>
          <w:p w14:paraId="028B0EBA" w14:textId="77777777" w:rsidR="003F6D20" w:rsidRPr="00EE335B" w:rsidRDefault="003F6D20" w:rsidP="00B5133B">
            <w:pPr>
              <w:pStyle w:val="NoSpacing"/>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Total District Area</w:t>
            </w:r>
          </w:p>
          <w:p w14:paraId="2BC0AE38" w14:textId="77777777" w:rsidR="003F6D20" w:rsidRPr="00EE335B" w:rsidRDefault="003F6D20" w:rsidP="00B5133B">
            <w:pPr>
              <w:pStyle w:val="NoSpacing"/>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104,449)</w:t>
            </w:r>
          </w:p>
        </w:tc>
      </w:tr>
      <w:tr w:rsidR="003F6D20" w:rsidRPr="00EE335B" w14:paraId="01259A26" w14:textId="77777777" w:rsidTr="00EE335B">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1632" w:type="dxa"/>
            <w:tcBorders>
              <w:top w:val="nil"/>
              <w:left w:val="nil"/>
              <w:bottom w:val="nil"/>
              <w:right w:val="nil"/>
            </w:tcBorders>
            <w:shd w:val="clear" w:color="auto" w:fill="auto"/>
            <w:vAlign w:val="center"/>
          </w:tcPr>
          <w:p w14:paraId="01D5C4C2" w14:textId="77777777" w:rsidR="003F6D20" w:rsidRPr="00EE335B" w:rsidRDefault="003F6D20" w:rsidP="00B5133B">
            <w:pPr>
              <w:pStyle w:val="NoSpacing"/>
              <w:keepNext/>
              <w:keepLines/>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Asian/Pacific Islander</w:t>
            </w:r>
          </w:p>
        </w:tc>
        <w:tc>
          <w:tcPr>
            <w:tcW w:w="1744" w:type="dxa"/>
            <w:tcBorders>
              <w:top w:val="nil"/>
              <w:left w:val="nil"/>
              <w:bottom w:val="nil"/>
              <w:right w:val="nil"/>
            </w:tcBorders>
            <w:shd w:val="clear" w:color="auto" w:fill="FFFFFF" w:themeFill="background1"/>
            <w:vAlign w:val="center"/>
          </w:tcPr>
          <w:p w14:paraId="00E9FF20" w14:textId="77777777" w:rsidR="003F6D20" w:rsidRPr="00EE335B" w:rsidRDefault="003F6D20" w:rsidP="00B5133B">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9.7%</w:t>
            </w:r>
          </w:p>
        </w:tc>
        <w:tc>
          <w:tcPr>
            <w:tcW w:w="1744" w:type="dxa"/>
            <w:tcBorders>
              <w:top w:val="nil"/>
              <w:left w:val="nil"/>
              <w:bottom w:val="nil"/>
              <w:right w:val="nil"/>
            </w:tcBorders>
            <w:shd w:val="clear" w:color="auto" w:fill="FFFFFF" w:themeFill="background1"/>
            <w:vAlign w:val="center"/>
          </w:tcPr>
          <w:p w14:paraId="2BED2E65" w14:textId="77777777" w:rsidR="003F6D20" w:rsidRPr="00EE335B" w:rsidRDefault="003F6D20" w:rsidP="00B5133B">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4.7%</w:t>
            </w:r>
          </w:p>
        </w:tc>
        <w:tc>
          <w:tcPr>
            <w:tcW w:w="1744" w:type="dxa"/>
            <w:tcBorders>
              <w:top w:val="nil"/>
              <w:left w:val="nil"/>
              <w:bottom w:val="nil"/>
              <w:right w:val="nil"/>
            </w:tcBorders>
            <w:shd w:val="clear" w:color="auto" w:fill="FFFFFF" w:themeFill="background1"/>
            <w:vAlign w:val="center"/>
          </w:tcPr>
          <w:p w14:paraId="451992E8" w14:textId="77777777" w:rsidR="003F6D20" w:rsidRPr="00EE335B" w:rsidRDefault="003F6D20" w:rsidP="00B5133B">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9.0%</w:t>
            </w:r>
          </w:p>
        </w:tc>
      </w:tr>
      <w:tr w:rsidR="003F6D20" w:rsidRPr="00EE335B" w14:paraId="1CC9199F" w14:textId="77777777" w:rsidTr="00EE335B">
        <w:trPr>
          <w:trHeight w:val="334"/>
          <w:jc w:val="center"/>
        </w:trPr>
        <w:tc>
          <w:tcPr>
            <w:cnfStyle w:val="001000000000" w:firstRow="0" w:lastRow="0" w:firstColumn="1" w:lastColumn="0" w:oddVBand="0" w:evenVBand="0" w:oddHBand="0" w:evenHBand="0" w:firstRowFirstColumn="0" w:firstRowLastColumn="0" w:lastRowFirstColumn="0" w:lastRowLastColumn="0"/>
            <w:tcW w:w="1632" w:type="dxa"/>
            <w:tcBorders>
              <w:top w:val="nil"/>
              <w:left w:val="nil"/>
              <w:bottom w:val="nil"/>
              <w:right w:val="nil"/>
            </w:tcBorders>
            <w:shd w:val="clear" w:color="auto" w:fill="DAEEF3" w:themeFill="accent5" w:themeFillTint="33"/>
            <w:vAlign w:val="center"/>
          </w:tcPr>
          <w:p w14:paraId="1A976718" w14:textId="77777777" w:rsidR="003F6D20" w:rsidRPr="00EE335B" w:rsidRDefault="003F6D20" w:rsidP="00B5133B">
            <w:pPr>
              <w:pStyle w:val="NoSpacing"/>
              <w:keepNext/>
              <w:keepLines/>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Black</w:t>
            </w:r>
          </w:p>
        </w:tc>
        <w:tc>
          <w:tcPr>
            <w:tcW w:w="1744" w:type="dxa"/>
            <w:tcBorders>
              <w:top w:val="nil"/>
              <w:left w:val="nil"/>
              <w:bottom w:val="nil"/>
              <w:right w:val="nil"/>
            </w:tcBorders>
            <w:vAlign w:val="center"/>
          </w:tcPr>
          <w:p w14:paraId="3D5ABB8B" w14:textId="77777777" w:rsidR="003F6D20" w:rsidRPr="00EE335B" w:rsidRDefault="003F6D20" w:rsidP="00B5133B">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3.9%</w:t>
            </w:r>
          </w:p>
        </w:tc>
        <w:tc>
          <w:tcPr>
            <w:tcW w:w="1744" w:type="dxa"/>
            <w:tcBorders>
              <w:top w:val="nil"/>
              <w:left w:val="nil"/>
              <w:bottom w:val="nil"/>
              <w:right w:val="nil"/>
            </w:tcBorders>
            <w:vAlign w:val="center"/>
          </w:tcPr>
          <w:p w14:paraId="5CD98ED6" w14:textId="77777777" w:rsidR="003F6D20" w:rsidRPr="00EE335B" w:rsidRDefault="003F6D20" w:rsidP="00B5133B">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1.4%</w:t>
            </w:r>
          </w:p>
        </w:tc>
        <w:tc>
          <w:tcPr>
            <w:tcW w:w="1744" w:type="dxa"/>
            <w:tcBorders>
              <w:top w:val="nil"/>
              <w:left w:val="nil"/>
              <w:bottom w:val="nil"/>
              <w:right w:val="nil"/>
            </w:tcBorders>
            <w:vAlign w:val="center"/>
          </w:tcPr>
          <w:p w14:paraId="214986E7" w14:textId="77777777" w:rsidR="003F6D20" w:rsidRPr="00EE335B" w:rsidRDefault="003F6D20" w:rsidP="00B5133B">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3.6%</w:t>
            </w:r>
          </w:p>
        </w:tc>
      </w:tr>
      <w:tr w:rsidR="003F6D20" w:rsidRPr="00EE335B" w14:paraId="56740AC3" w14:textId="77777777" w:rsidTr="00EE335B">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1632" w:type="dxa"/>
            <w:tcBorders>
              <w:top w:val="nil"/>
              <w:left w:val="nil"/>
              <w:bottom w:val="nil"/>
              <w:right w:val="nil"/>
            </w:tcBorders>
            <w:shd w:val="clear" w:color="auto" w:fill="auto"/>
            <w:vAlign w:val="center"/>
          </w:tcPr>
          <w:p w14:paraId="69E8AA19" w14:textId="77777777" w:rsidR="003F6D20" w:rsidRPr="00EE335B" w:rsidRDefault="003F6D20" w:rsidP="00B5133B">
            <w:pPr>
              <w:pStyle w:val="NoSpacing"/>
              <w:keepNext/>
              <w:keepLines/>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Hispanic</w:t>
            </w:r>
          </w:p>
        </w:tc>
        <w:tc>
          <w:tcPr>
            <w:tcW w:w="1744" w:type="dxa"/>
            <w:tcBorders>
              <w:top w:val="nil"/>
              <w:left w:val="nil"/>
              <w:bottom w:val="nil"/>
              <w:right w:val="nil"/>
            </w:tcBorders>
            <w:shd w:val="clear" w:color="auto" w:fill="auto"/>
            <w:vAlign w:val="center"/>
          </w:tcPr>
          <w:p w14:paraId="1DD269E9" w14:textId="77777777" w:rsidR="003F6D20" w:rsidRPr="00EE335B" w:rsidRDefault="003F6D20" w:rsidP="00B5133B">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14.5%</w:t>
            </w:r>
          </w:p>
        </w:tc>
        <w:tc>
          <w:tcPr>
            <w:tcW w:w="1744" w:type="dxa"/>
            <w:tcBorders>
              <w:top w:val="nil"/>
              <w:left w:val="nil"/>
              <w:bottom w:val="nil"/>
              <w:right w:val="nil"/>
            </w:tcBorders>
            <w:shd w:val="clear" w:color="auto" w:fill="auto"/>
            <w:vAlign w:val="center"/>
          </w:tcPr>
          <w:p w14:paraId="2C35C78B" w14:textId="77777777" w:rsidR="003F6D20" w:rsidRPr="00EE335B" w:rsidRDefault="003F6D20" w:rsidP="00B5133B">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7.4%</w:t>
            </w:r>
          </w:p>
        </w:tc>
        <w:tc>
          <w:tcPr>
            <w:tcW w:w="1744" w:type="dxa"/>
            <w:tcBorders>
              <w:top w:val="nil"/>
              <w:left w:val="nil"/>
              <w:bottom w:val="nil"/>
              <w:right w:val="nil"/>
            </w:tcBorders>
            <w:shd w:val="clear" w:color="auto" w:fill="auto"/>
            <w:vAlign w:val="center"/>
          </w:tcPr>
          <w:p w14:paraId="2634E64E" w14:textId="77777777" w:rsidR="003F6D20" w:rsidRPr="00EE335B" w:rsidRDefault="003F6D20" w:rsidP="00B5133B">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13.7%</w:t>
            </w:r>
          </w:p>
        </w:tc>
      </w:tr>
      <w:tr w:rsidR="003F6D20" w:rsidRPr="00EE335B" w14:paraId="64AC9A69" w14:textId="77777777" w:rsidTr="00EE335B">
        <w:trPr>
          <w:trHeight w:val="334"/>
          <w:jc w:val="center"/>
        </w:trPr>
        <w:tc>
          <w:tcPr>
            <w:cnfStyle w:val="001000000000" w:firstRow="0" w:lastRow="0" w:firstColumn="1" w:lastColumn="0" w:oddVBand="0" w:evenVBand="0" w:oddHBand="0" w:evenHBand="0" w:firstRowFirstColumn="0" w:firstRowLastColumn="0" w:lastRowFirstColumn="0" w:lastRowLastColumn="0"/>
            <w:tcW w:w="1632" w:type="dxa"/>
            <w:tcBorders>
              <w:top w:val="nil"/>
              <w:left w:val="nil"/>
              <w:bottom w:val="nil"/>
              <w:right w:val="nil"/>
            </w:tcBorders>
            <w:shd w:val="clear" w:color="auto" w:fill="DAEEF3" w:themeFill="accent5" w:themeFillTint="33"/>
            <w:vAlign w:val="center"/>
          </w:tcPr>
          <w:p w14:paraId="3CCDBF2B" w14:textId="77777777" w:rsidR="003F6D20" w:rsidRPr="00EE335B" w:rsidRDefault="003F6D20" w:rsidP="00B5133B">
            <w:pPr>
              <w:pStyle w:val="NoSpacing"/>
              <w:keepNext/>
              <w:keepLines/>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Native American</w:t>
            </w:r>
          </w:p>
        </w:tc>
        <w:tc>
          <w:tcPr>
            <w:tcW w:w="1744" w:type="dxa"/>
            <w:tcBorders>
              <w:top w:val="nil"/>
              <w:left w:val="nil"/>
              <w:bottom w:val="nil"/>
              <w:right w:val="nil"/>
            </w:tcBorders>
            <w:vAlign w:val="center"/>
          </w:tcPr>
          <w:p w14:paraId="3C2BB6C7" w14:textId="77777777" w:rsidR="003F6D20" w:rsidRPr="00EE335B" w:rsidRDefault="003F6D20" w:rsidP="00B5133B">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0.0%</w:t>
            </w:r>
          </w:p>
        </w:tc>
        <w:tc>
          <w:tcPr>
            <w:tcW w:w="1744" w:type="dxa"/>
            <w:tcBorders>
              <w:top w:val="nil"/>
              <w:left w:val="nil"/>
              <w:bottom w:val="nil"/>
              <w:right w:val="nil"/>
            </w:tcBorders>
            <w:vAlign w:val="center"/>
          </w:tcPr>
          <w:p w14:paraId="740FC82E" w14:textId="77777777" w:rsidR="003F6D20" w:rsidRPr="00EE335B" w:rsidRDefault="003F6D20" w:rsidP="00B5133B">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0.0%</w:t>
            </w:r>
          </w:p>
        </w:tc>
        <w:tc>
          <w:tcPr>
            <w:tcW w:w="1744" w:type="dxa"/>
            <w:tcBorders>
              <w:top w:val="nil"/>
              <w:left w:val="nil"/>
              <w:bottom w:val="nil"/>
              <w:right w:val="nil"/>
            </w:tcBorders>
            <w:vAlign w:val="center"/>
          </w:tcPr>
          <w:p w14:paraId="1C7F8F63" w14:textId="77777777" w:rsidR="003F6D20" w:rsidRPr="00EE335B" w:rsidRDefault="003F6D20" w:rsidP="00B5133B">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0.0%</w:t>
            </w:r>
          </w:p>
        </w:tc>
      </w:tr>
      <w:tr w:rsidR="003F6D20" w:rsidRPr="00EE335B" w14:paraId="2204B032" w14:textId="77777777" w:rsidTr="00EE335B">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1632" w:type="dxa"/>
            <w:tcBorders>
              <w:top w:val="nil"/>
              <w:left w:val="nil"/>
              <w:bottom w:val="nil"/>
              <w:right w:val="nil"/>
            </w:tcBorders>
            <w:shd w:val="clear" w:color="auto" w:fill="auto"/>
            <w:vAlign w:val="center"/>
          </w:tcPr>
          <w:p w14:paraId="4CAC98FE" w14:textId="77777777" w:rsidR="003F6D20" w:rsidRPr="00EE335B" w:rsidRDefault="003F6D20" w:rsidP="00B5133B">
            <w:pPr>
              <w:pStyle w:val="NoSpacing"/>
              <w:keepNext/>
              <w:keepLines/>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Other</w:t>
            </w:r>
          </w:p>
        </w:tc>
        <w:tc>
          <w:tcPr>
            <w:tcW w:w="1744" w:type="dxa"/>
            <w:tcBorders>
              <w:top w:val="nil"/>
              <w:left w:val="nil"/>
              <w:bottom w:val="nil"/>
              <w:right w:val="nil"/>
            </w:tcBorders>
            <w:shd w:val="clear" w:color="auto" w:fill="auto"/>
            <w:vAlign w:val="center"/>
          </w:tcPr>
          <w:p w14:paraId="147622DD" w14:textId="77777777" w:rsidR="003F6D20" w:rsidRPr="00EE335B" w:rsidRDefault="003F6D20" w:rsidP="00B5133B">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0.2%</w:t>
            </w:r>
          </w:p>
        </w:tc>
        <w:tc>
          <w:tcPr>
            <w:tcW w:w="1744" w:type="dxa"/>
            <w:tcBorders>
              <w:top w:val="nil"/>
              <w:left w:val="nil"/>
              <w:bottom w:val="nil"/>
              <w:right w:val="nil"/>
            </w:tcBorders>
            <w:shd w:val="clear" w:color="auto" w:fill="auto"/>
            <w:vAlign w:val="center"/>
          </w:tcPr>
          <w:p w14:paraId="132442EB" w14:textId="77777777" w:rsidR="003F6D20" w:rsidRPr="00EE335B" w:rsidRDefault="003F6D20" w:rsidP="00B5133B">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0.0%</w:t>
            </w:r>
          </w:p>
        </w:tc>
        <w:tc>
          <w:tcPr>
            <w:tcW w:w="1744" w:type="dxa"/>
            <w:tcBorders>
              <w:top w:val="nil"/>
              <w:left w:val="nil"/>
              <w:bottom w:val="nil"/>
              <w:right w:val="nil"/>
            </w:tcBorders>
            <w:shd w:val="clear" w:color="auto" w:fill="auto"/>
            <w:vAlign w:val="center"/>
          </w:tcPr>
          <w:p w14:paraId="7127E18C" w14:textId="77777777" w:rsidR="003F6D20" w:rsidRPr="00EE335B" w:rsidRDefault="003F6D20" w:rsidP="00B5133B">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0.2%</w:t>
            </w:r>
          </w:p>
        </w:tc>
      </w:tr>
      <w:tr w:rsidR="003F6D20" w:rsidRPr="00EE335B" w14:paraId="59193940" w14:textId="77777777" w:rsidTr="00EE335B">
        <w:trPr>
          <w:trHeight w:val="334"/>
          <w:jc w:val="center"/>
        </w:trPr>
        <w:tc>
          <w:tcPr>
            <w:cnfStyle w:val="001000000000" w:firstRow="0" w:lastRow="0" w:firstColumn="1" w:lastColumn="0" w:oddVBand="0" w:evenVBand="0" w:oddHBand="0" w:evenHBand="0" w:firstRowFirstColumn="0" w:firstRowLastColumn="0" w:lastRowFirstColumn="0" w:lastRowLastColumn="0"/>
            <w:tcW w:w="1632" w:type="dxa"/>
            <w:tcBorders>
              <w:top w:val="nil"/>
              <w:left w:val="nil"/>
              <w:bottom w:val="nil"/>
              <w:right w:val="nil"/>
            </w:tcBorders>
            <w:shd w:val="clear" w:color="auto" w:fill="DAEEF3" w:themeFill="accent5" w:themeFillTint="33"/>
            <w:vAlign w:val="center"/>
          </w:tcPr>
          <w:p w14:paraId="28E83D37" w14:textId="77777777" w:rsidR="003F6D20" w:rsidRPr="00EE335B" w:rsidRDefault="003F6D20" w:rsidP="00B5133B">
            <w:pPr>
              <w:pStyle w:val="NoSpacing"/>
              <w:keepNext/>
              <w:keepLines/>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Two or More Race</w:t>
            </w:r>
          </w:p>
        </w:tc>
        <w:tc>
          <w:tcPr>
            <w:tcW w:w="1744" w:type="dxa"/>
            <w:tcBorders>
              <w:top w:val="nil"/>
              <w:left w:val="nil"/>
              <w:bottom w:val="nil"/>
              <w:right w:val="nil"/>
            </w:tcBorders>
            <w:vAlign w:val="center"/>
          </w:tcPr>
          <w:p w14:paraId="708132A8" w14:textId="77777777" w:rsidR="003F6D20" w:rsidRPr="00EE335B" w:rsidRDefault="003F6D20" w:rsidP="00B5133B">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3.7%</w:t>
            </w:r>
          </w:p>
        </w:tc>
        <w:tc>
          <w:tcPr>
            <w:tcW w:w="1744" w:type="dxa"/>
            <w:tcBorders>
              <w:top w:val="nil"/>
              <w:left w:val="nil"/>
              <w:bottom w:val="nil"/>
              <w:right w:val="nil"/>
            </w:tcBorders>
            <w:vAlign w:val="center"/>
          </w:tcPr>
          <w:p w14:paraId="27814268" w14:textId="77777777" w:rsidR="003F6D20" w:rsidRPr="00EE335B" w:rsidRDefault="003F6D20" w:rsidP="00B5133B">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2.9%</w:t>
            </w:r>
          </w:p>
        </w:tc>
        <w:tc>
          <w:tcPr>
            <w:tcW w:w="1744" w:type="dxa"/>
            <w:tcBorders>
              <w:top w:val="nil"/>
              <w:left w:val="nil"/>
              <w:bottom w:val="nil"/>
              <w:right w:val="nil"/>
            </w:tcBorders>
            <w:vAlign w:val="center"/>
          </w:tcPr>
          <w:p w14:paraId="24DD4E80" w14:textId="77777777" w:rsidR="003F6D20" w:rsidRPr="00EE335B" w:rsidRDefault="003F6D20" w:rsidP="00B5133B">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3.6%</w:t>
            </w:r>
          </w:p>
        </w:tc>
      </w:tr>
      <w:tr w:rsidR="003F6D20" w:rsidRPr="00EE335B" w14:paraId="3386D0DC" w14:textId="77777777" w:rsidTr="00EE335B">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1632" w:type="dxa"/>
            <w:tcBorders>
              <w:top w:val="nil"/>
              <w:left w:val="nil"/>
              <w:bottom w:val="nil"/>
              <w:right w:val="nil"/>
            </w:tcBorders>
            <w:shd w:val="clear" w:color="auto" w:fill="auto"/>
            <w:vAlign w:val="center"/>
          </w:tcPr>
          <w:p w14:paraId="37B6214B" w14:textId="77777777" w:rsidR="003F6D20" w:rsidRPr="00EE335B" w:rsidRDefault="003F6D20" w:rsidP="00B5133B">
            <w:pPr>
              <w:pStyle w:val="NoSpacing"/>
              <w:keepNext/>
              <w:keepLines/>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White</w:t>
            </w:r>
          </w:p>
        </w:tc>
        <w:tc>
          <w:tcPr>
            <w:tcW w:w="1744" w:type="dxa"/>
            <w:tcBorders>
              <w:top w:val="nil"/>
              <w:left w:val="nil"/>
              <w:bottom w:val="nil"/>
              <w:right w:val="nil"/>
            </w:tcBorders>
            <w:shd w:val="clear" w:color="auto" w:fill="auto"/>
            <w:vAlign w:val="center"/>
          </w:tcPr>
          <w:p w14:paraId="61281A4D" w14:textId="77777777" w:rsidR="003F6D20" w:rsidRPr="00EE335B" w:rsidRDefault="003F6D20" w:rsidP="00B5133B">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68.0%</w:t>
            </w:r>
          </w:p>
        </w:tc>
        <w:tc>
          <w:tcPr>
            <w:tcW w:w="1744" w:type="dxa"/>
            <w:tcBorders>
              <w:top w:val="nil"/>
              <w:left w:val="nil"/>
              <w:bottom w:val="nil"/>
              <w:right w:val="nil"/>
            </w:tcBorders>
            <w:shd w:val="clear" w:color="auto" w:fill="auto"/>
            <w:vAlign w:val="center"/>
          </w:tcPr>
          <w:p w14:paraId="5A85F6EE" w14:textId="77777777" w:rsidR="003F6D20" w:rsidRPr="00EE335B" w:rsidRDefault="003F6D20" w:rsidP="00B5133B">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83.6%</w:t>
            </w:r>
          </w:p>
        </w:tc>
        <w:tc>
          <w:tcPr>
            <w:tcW w:w="1744" w:type="dxa"/>
            <w:tcBorders>
              <w:top w:val="nil"/>
              <w:left w:val="nil"/>
              <w:bottom w:val="nil"/>
              <w:right w:val="nil"/>
            </w:tcBorders>
            <w:shd w:val="clear" w:color="auto" w:fill="auto"/>
            <w:vAlign w:val="center"/>
          </w:tcPr>
          <w:p w14:paraId="605EE512" w14:textId="77777777" w:rsidR="003F6D20" w:rsidRPr="00EE335B" w:rsidRDefault="003F6D20" w:rsidP="00B5133B">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69.9%</w:t>
            </w:r>
          </w:p>
        </w:tc>
      </w:tr>
      <w:tr w:rsidR="003F6D20" w:rsidRPr="00EE335B" w14:paraId="64F6777A" w14:textId="77777777" w:rsidTr="00EE335B">
        <w:trPr>
          <w:trHeight w:val="334"/>
          <w:jc w:val="center"/>
        </w:trPr>
        <w:tc>
          <w:tcPr>
            <w:cnfStyle w:val="001000000000" w:firstRow="0" w:lastRow="0" w:firstColumn="1" w:lastColumn="0" w:oddVBand="0" w:evenVBand="0" w:oddHBand="0" w:evenHBand="0" w:firstRowFirstColumn="0" w:firstRowLastColumn="0" w:lastRowFirstColumn="0" w:lastRowLastColumn="0"/>
            <w:tcW w:w="1632" w:type="dxa"/>
            <w:tcBorders>
              <w:top w:val="single" w:sz="4" w:space="0" w:color="auto"/>
              <w:bottom w:val="single" w:sz="4" w:space="0" w:color="auto"/>
            </w:tcBorders>
            <w:shd w:val="clear" w:color="auto" w:fill="FFFFFF" w:themeFill="background1"/>
            <w:vAlign w:val="center"/>
          </w:tcPr>
          <w:p w14:paraId="56076249" w14:textId="77777777" w:rsidR="003F6D20" w:rsidRPr="00EE335B" w:rsidRDefault="003F6D20" w:rsidP="00B5133B">
            <w:pPr>
              <w:keepNext/>
              <w:keepLines/>
              <w:rPr>
                <w:rFonts w:cs="Times New Roman"/>
                <w:b w:val="0"/>
                <w:color w:val="215868" w:themeColor="accent5" w:themeShade="80"/>
                <w:sz w:val="14"/>
              </w:rPr>
            </w:pPr>
            <w:r w:rsidRPr="00EE335B">
              <w:rPr>
                <w:rFonts w:cs="Times New Roman"/>
                <w:b w:val="0"/>
                <w:color w:val="215868" w:themeColor="accent5" w:themeShade="80"/>
                <w:sz w:val="14"/>
              </w:rPr>
              <w:t>Total</w:t>
            </w:r>
          </w:p>
        </w:tc>
        <w:tc>
          <w:tcPr>
            <w:tcW w:w="1744" w:type="dxa"/>
            <w:tcBorders>
              <w:top w:val="single" w:sz="4" w:space="0" w:color="auto"/>
              <w:bottom w:val="single" w:sz="4" w:space="0" w:color="auto"/>
            </w:tcBorders>
            <w:shd w:val="clear" w:color="auto" w:fill="FFFFFF" w:themeFill="background1"/>
            <w:vAlign w:val="center"/>
          </w:tcPr>
          <w:p w14:paraId="7452669B" w14:textId="77777777" w:rsidR="003F6D20" w:rsidRPr="00EE335B" w:rsidRDefault="003F6D20" w:rsidP="00B5133B">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744" w:type="dxa"/>
            <w:tcBorders>
              <w:top w:val="single" w:sz="4" w:space="0" w:color="auto"/>
              <w:bottom w:val="single" w:sz="4" w:space="0" w:color="auto"/>
            </w:tcBorders>
            <w:shd w:val="clear" w:color="auto" w:fill="FFFFFF" w:themeFill="background1"/>
            <w:vAlign w:val="center"/>
          </w:tcPr>
          <w:p w14:paraId="18372B37" w14:textId="77777777" w:rsidR="003F6D20" w:rsidRPr="00EE335B" w:rsidRDefault="003F6D20" w:rsidP="00B5133B">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744" w:type="dxa"/>
            <w:tcBorders>
              <w:top w:val="single" w:sz="4" w:space="0" w:color="auto"/>
              <w:bottom w:val="single" w:sz="4" w:space="0" w:color="auto"/>
            </w:tcBorders>
            <w:shd w:val="clear" w:color="auto" w:fill="FFFFFF" w:themeFill="background1"/>
            <w:vAlign w:val="center"/>
          </w:tcPr>
          <w:p w14:paraId="1781ADD5" w14:textId="77777777" w:rsidR="003F6D20" w:rsidRPr="00EE335B" w:rsidRDefault="003F6D20" w:rsidP="00B5133B">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r>
    </w:tbl>
    <w:p w14:paraId="5E527EE0" w14:textId="77777777" w:rsidR="003F6D20" w:rsidRDefault="003F6D20" w:rsidP="003F6D20">
      <w:pPr>
        <w:rPr>
          <w:rFonts w:cs="Times New Roman"/>
          <w:i/>
          <w:sz w:val="14"/>
        </w:rPr>
      </w:pPr>
      <w:r w:rsidRPr="00EE335B">
        <w:rPr>
          <w:rFonts w:cs="Times New Roman"/>
          <w:i/>
          <w:sz w:val="14"/>
        </w:rPr>
        <w:t>Source: 2014 American Community Survey (Census)</w:t>
      </w:r>
    </w:p>
    <w:p w14:paraId="4530D3D1" w14:textId="77777777" w:rsidR="001C65FC" w:rsidRPr="00EE335B" w:rsidRDefault="001C65FC" w:rsidP="003F6D20">
      <w:pPr>
        <w:rPr>
          <w:rFonts w:cs="Times New Roman"/>
          <w:sz w:val="20"/>
        </w:rPr>
      </w:pPr>
    </w:p>
    <w:p w14:paraId="59A419DD" w14:textId="77777777" w:rsidR="003F6D20" w:rsidRPr="00EE335B" w:rsidRDefault="003F6D20" w:rsidP="003D4C4D">
      <w:pPr>
        <w:pStyle w:val="Heading4"/>
      </w:pPr>
      <w:r w:rsidRPr="00EE335B">
        <w:t>Age Group</w:t>
      </w:r>
    </w:p>
    <w:p w14:paraId="078110A6" w14:textId="306A06A7" w:rsidR="003F6D20" w:rsidRPr="00EE335B" w:rsidRDefault="003F6D20" w:rsidP="00B71792">
      <w:pPr>
        <w:pStyle w:val="Normalwithspacebetween"/>
      </w:pPr>
      <w:r w:rsidRPr="00EE335B">
        <w:t>Overall, the largest proportion of the district area population is 55 years of age or older, with disproportionately more of the population in Malibu (40.7</w:t>
      </w:r>
      <w:r w:rsidR="00B5133B">
        <w:t xml:space="preserve"> percent</w:t>
      </w:r>
      <w:r w:rsidRPr="00EE335B">
        <w:t>) belonging to this age group when compared to the population in Santa Monica (28.1</w:t>
      </w:r>
      <w:r w:rsidR="00B5133B">
        <w:t xml:space="preserve"> percent</w:t>
      </w:r>
      <w:r w:rsidRPr="00EE335B">
        <w:t>). Less than one-quarter (22.6</w:t>
      </w:r>
      <w:r w:rsidR="00B5133B">
        <w:t xml:space="preserve"> percent</w:t>
      </w:r>
      <w:r w:rsidRPr="00EE335B">
        <w:t>) of the district area population were traditional-college aged or younger (24 years of age or younger).</w:t>
      </w:r>
    </w:p>
    <w:p w14:paraId="7D687037" w14:textId="77777777" w:rsidR="003F6D20" w:rsidRPr="00EE335B" w:rsidRDefault="003F6D20" w:rsidP="003F6D20">
      <w:pPr>
        <w:pStyle w:val="NoSpacing"/>
        <w:rPr>
          <w:rFonts w:ascii="Times New Roman" w:hAnsi="Times New Roman" w:cs="Times New Roman"/>
        </w:rPr>
      </w:pPr>
    </w:p>
    <w:p w14:paraId="2AA5EBDD" w14:textId="77777777" w:rsidR="003F6D20" w:rsidRPr="00EE335B" w:rsidRDefault="003F6D20" w:rsidP="001C65FC">
      <w:pPr>
        <w:keepNext/>
        <w:keepLines/>
        <w:jc w:val="center"/>
        <w:rPr>
          <w:rFonts w:cs="Times New Roman"/>
          <w:sz w:val="20"/>
        </w:rPr>
      </w:pPr>
      <w:r w:rsidRPr="00EE335B">
        <w:rPr>
          <w:rFonts w:cs="Times New Roman"/>
          <w:sz w:val="20"/>
        </w:rPr>
        <w:lastRenderedPageBreak/>
        <w:t>District Area Population Age Group (2014)</w:t>
      </w:r>
    </w:p>
    <w:tbl>
      <w:tblPr>
        <w:tblStyle w:val="GridTable5Dark-Accent51"/>
        <w:tblW w:w="6864" w:type="dxa"/>
        <w:jc w:val="center"/>
        <w:tblLook w:val="04A0" w:firstRow="1" w:lastRow="0" w:firstColumn="1" w:lastColumn="0" w:noHBand="0" w:noVBand="1"/>
      </w:tblPr>
      <w:tblGrid>
        <w:gridCol w:w="1632"/>
        <w:gridCol w:w="1744"/>
        <w:gridCol w:w="1744"/>
        <w:gridCol w:w="1744"/>
      </w:tblGrid>
      <w:tr w:rsidR="003F6D20" w:rsidRPr="00EE335B" w14:paraId="7275360B" w14:textId="77777777" w:rsidTr="00EE335B">
        <w:trPr>
          <w:cnfStyle w:val="100000000000" w:firstRow="1" w:lastRow="0" w:firstColumn="0" w:lastColumn="0" w:oddVBand="0" w:evenVBand="0" w:oddHBand="0"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1632" w:type="dxa"/>
            <w:tcBorders>
              <w:top w:val="nil"/>
              <w:left w:val="nil"/>
              <w:bottom w:val="nil"/>
            </w:tcBorders>
          </w:tcPr>
          <w:p w14:paraId="3A5636C1" w14:textId="77777777" w:rsidR="003F6D20" w:rsidRPr="00EE335B" w:rsidRDefault="003F6D20" w:rsidP="001C65FC">
            <w:pPr>
              <w:keepNext/>
              <w:keepLines/>
              <w:rPr>
                <w:rFonts w:cs="Times New Roman"/>
                <w:b w:val="0"/>
                <w:sz w:val="16"/>
              </w:rPr>
            </w:pPr>
          </w:p>
        </w:tc>
        <w:tc>
          <w:tcPr>
            <w:tcW w:w="1744" w:type="dxa"/>
            <w:tcBorders>
              <w:top w:val="nil"/>
              <w:bottom w:val="nil"/>
            </w:tcBorders>
          </w:tcPr>
          <w:p w14:paraId="187F702B" w14:textId="77777777" w:rsidR="003F6D20" w:rsidRPr="00EE335B" w:rsidRDefault="003F6D20" w:rsidP="001C65FC">
            <w:pPr>
              <w:pStyle w:val="NoSpacing"/>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City of Santa Monica               (N = 91,619)</w:t>
            </w:r>
          </w:p>
        </w:tc>
        <w:tc>
          <w:tcPr>
            <w:tcW w:w="1744" w:type="dxa"/>
            <w:tcBorders>
              <w:top w:val="nil"/>
              <w:bottom w:val="nil"/>
            </w:tcBorders>
          </w:tcPr>
          <w:p w14:paraId="6BFEE43B" w14:textId="77777777" w:rsidR="003F6D20" w:rsidRPr="00EE335B" w:rsidRDefault="003F6D20" w:rsidP="001C65FC">
            <w:pPr>
              <w:pStyle w:val="NoSpacing"/>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City of Malibu</w:t>
            </w:r>
            <w:r w:rsidRPr="00EE335B">
              <w:rPr>
                <w:rFonts w:ascii="Times New Roman" w:hAnsi="Times New Roman" w:cs="Times New Roman"/>
                <w:b w:val="0"/>
                <w:sz w:val="14"/>
              </w:rPr>
              <w:br/>
              <w:t>(N = 12,830)</w:t>
            </w:r>
          </w:p>
        </w:tc>
        <w:tc>
          <w:tcPr>
            <w:tcW w:w="1744" w:type="dxa"/>
            <w:tcBorders>
              <w:top w:val="nil"/>
              <w:bottom w:val="nil"/>
            </w:tcBorders>
          </w:tcPr>
          <w:p w14:paraId="2C8697A2" w14:textId="77777777" w:rsidR="003F6D20" w:rsidRPr="00EE335B" w:rsidRDefault="003F6D20" w:rsidP="001C65FC">
            <w:pPr>
              <w:pStyle w:val="NoSpacing"/>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Total District Area</w:t>
            </w:r>
          </w:p>
          <w:p w14:paraId="4273E06B" w14:textId="77777777" w:rsidR="003F6D20" w:rsidRPr="00EE335B" w:rsidRDefault="003F6D20" w:rsidP="001C65FC">
            <w:pPr>
              <w:pStyle w:val="NoSpacing"/>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104,449)</w:t>
            </w:r>
          </w:p>
        </w:tc>
      </w:tr>
      <w:tr w:rsidR="003F6D20" w:rsidRPr="00EE335B" w14:paraId="36668483" w14:textId="77777777" w:rsidTr="00EE335B">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1632" w:type="dxa"/>
            <w:tcBorders>
              <w:top w:val="nil"/>
              <w:left w:val="nil"/>
              <w:bottom w:val="nil"/>
              <w:right w:val="nil"/>
            </w:tcBorders>
            <w:shd w:val="clear" w:color="auto" w:fill="auto"/>
            <w:vAlign w:val="center"/>
          </w:tcPr>
          <w:p w14:paraId="15A747A6" w14:textId="77777777" w:rsidR="003F6D20" w:rsidRPr="00EE335B" w:rsidRDefault="003F6D20" w:rsidP="00EE335B">
            <w:pPr>
              <w:pStyle w:val="NoSpacing"/>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Under 20</w:t>
            </w:r>
          </w:p>
        </w:tc>
        <w:tc>
          <w:tcPr>
            <w:tcW w:w="1744" w:type="dxa"/>
            <w:tcBorders>
              <w:top w:val="nil"/>
              <w:left w:val="nil"/>
              <w:bottom w:val="nil"/>
              <w:right w:val="nil"/>
            </w:tcBorders>
            <w:shd w:val="clear" w:color="auto" w:fill="FFFFFF" w:themeFill="background1"/>
            <w:vAlign w:val="center"/>
          </w:tcPr>
          <w:p w14:paraId="4D746453"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15.4%</w:t>
            </w:r>
          </w:p>
        </w:tc>
        <w:tc>
          <w:tcPr>
            <w:tcW w:w="1744" w:type="dxa"/>
            <w:tcBorders>
              <w:top w:val="nil"/>
              <w:left w:val="nil"/>
              <w:bottom w:val="nil"/>
              <w:right w:val="nil"/>
            </w:tcBorders>
            <w:shd w:val="clear" w:color="auto" w:fill="FFFFFF" w:themeFill="background1"/>
            <w:vAlign w:val="center"/>
          </w:tcPr>
          <w:p w14:paraId="0539A6C3"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19.5%</w:t>
            </w:r>
          </w:p>
        </w:tc>
        <w:tc>
          <w:tcPr>
            <w:tcW w:w="1744" w:type="dxa"/>
            <w:tcBorders>
              <w:top w:val="nil"/>
              <w:left w:val="nil"/>
              <w:bottom w:val="nil"/>
              <w:right w:val="nil"/>
            </w:tcBorders>
            <w:shd w:val="clear" w:color="auto" w:fill="FFFFFF" w:themeFill="background1"/>
            <w:vAlign w:val="center"/>
          </w:tcPr>
          <w:p w14:paraId="0FBF3BD1"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15.9%</w:t>
            </w:r>
          </w:p>
        </w:tc>
      </w:tr>
      <w:tr w:rsidR="003F6D20" w:rsidRPr="00EE335B" w14:paraId="0A958D66" w14:textId="77777777" w:rsidTr="00EE335B">
        <w:trPr>
          <w:trHeight w:val="334"/>
          <w:jc w:val="center"/>
        </w:trPr>
        <w:tc>
          <w:tcPr>
            <w:cnfStyle w:val="001000000000" w:firstRow="0" w:lastRow="0" w:firstColumn="1" w:lastColumn="0" w:oddVBand="0" w:evenVBand="0" w:oddHBand="0" w:evenHBand="0" w:firstRowFirstColumn="0" w:firstRowLastColumn="0" w:lastRowFirstColumn="0" w:lastRowLastColumn="0"/>
            <w:tcW w:w="1632" w:type="dxa"/>
            <w:tcBorders>
              <w:top w:val="nil"/>
              <w:left w:val="nil"/>
              <w:bottom w:val="nil"/>
              <w:right w:val="nil"/>
            </w:tcBorders>
            <w:shd w:val="clear" w:color="auto" w:fill="DAEEF3" w:themeFill="accent5" w:themeFillTint="33"/>
            <w:vAlign w:val="center"/>
          </w:tcPr>
          <w:p w14:paraId="15F6694A" w14:textId="77777777" w:rsidR="003F6D20" w:rsidRPr="00EE335B" w:rsidRDefault="003F6D20" w:rsidP="00EE335B">
            <w:pPr>
              <w:pStyle w:val="NoSpacing"/>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20-24</w:t>
            </w:r>
          </w:p>
        </w:tc>
        <w:tc>
          <w:tcPr>
            <w:tcW w:w="1744" w:type="dxa"/>
            <w:tcBorders>
              <w:top w:val="nil"/>
              <w:left w:val="nil"/>
              <w:bottom w:val="nil"/>
              <w:right w:val="nil"/>
            </w:tcBorders>
            <w:vAlign w:val="center"/>
          </w:tcPr>
          <w:p w14:paraId="2931EB3D"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6.5%</w:t>
            </w:r>
          </w:p>
        </w:tc>
        <w:tc>
          <w:tcPr>
            <w:tcW w:w="1744" w:type="dxa"/>
            <w:tcBorders>
              <w:top w:val="nil"/>
              <w:left w:val="nil"/>
              <w:bottom w:val="nil"/>
              <w:right w:val="nil"/>
            </w:tcBorders>
            <w:vAlign w:val="center"/>
          </w:tcPr>
          <w:p w14:paraId="7B1A5534"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7.8%</w:t>
            </w:r>
          </w:p>
        </w:tc>
        <w:tc>
          <w:tcPr>
            <w:tcW w:w="1744" w:type="dxa"/>
            <w:tcBorders>
              <w:top w:val="nil"/>
              <w:left w:val="nil"/>
              <w:bottom w:val="nil"/>
              <w:right w:val="nil"/>
            </w:tcBorders>
            <w:vAlign w:val="center"/>
          </w:tcPr>
          <w:p w14:paraId="3C43A81F"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6.7%</w:t>
            </w:r>
          </w:p>
        </w:tc>
      </w:tr>
      <w:tr w:rsidR="003F6D20" w:rsidRPr="00EE335B" w14:paraId="283B1438" w14:textId="77777777" w:rsidTr="00EE335B">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1632" w:type="dxa"/>
            <w:tcBorders>
              <w:top w:val="nil"/>
              <w:left w:val="nil"/>
              <w:bottom w:val="nil"/>
              <w:right w:val="nil"/>
            </w:tcBorders>
            <w:shd w:val="clear" w:color="auto" w:fill="auto"/>
            <w:vAlign w:val="center"/>
          </w:tcPr>
          <w:p w14:paraId="265E3741" w14:textId="77777777" w:rsidR="003F6D20" w:rsidRPr="00EE335B" w:rsidRDefault="003F6D20" w:rsidP="00EE335B">
            <w:pPr>
              <w:pStyle w:val="NoSpacing"/>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25-34</w:t>
            </w:r>
          </w:p>
        </w:tc>
        <w:tc>
          <w:tcPr>
            <w:tcW w:w="1744" w:type="dxa"/>
            <w:tcBorders>
              <w:top w:val="nil"/>
              <w:left w:val="nil"/>
              <w:bottom w:val="nil"/>
              <w:right w:val="nil"/>
            </w:tcBorders>
            <w:shd w:val="clear" w:color="auto" w:fill="auto"/>
            <w:vAlign w:val="center"/>
          </w:tcPr>
          <w:p w14:paraId="077A911B"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19.4%</w:t>
            </w:r>
          </w:p>
        </w:tc>
        <w:tc>
          <w:tcPr>
            <w:tcW w:w="1744" w:type="dxa"/>
            <w:tcBorders>
              <w:top w:val="nil"/>
              <w:left w:val="nil"/>
              <w:bottom w:val="nil"/>
              <w:right w:val="nil"/>
            </w:tcBorders>
            <w:shd w:val="clear" w:color="auto" w:fill="auto"/>
            <w:vAlign w:val="center"/>
          </w:tcPr>
          <w:p w14:paraId="041D8025"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6.6%</w:t>
            </w:r>
          </w:p>
        </w:tc>
        <w:tc>
          <w:tcPr>
            <w:tcW w:w="1744" w:type="dxa"/>
            <w:tcBorders>
              <w:top w:val="nil"/>
              <w:left w:val="nil"/>
              <w:bottom w:val="nil"/>
              <w:right w:val="nil"/>
            </w:tcBorders>
            <w:shd w:val="clear" w:color="auto" w:fill="auto"/>
            <w:vAlign w:val="center"/>
          </w:tcPr>
          <w:p w14:paraId="7AC9BBEB"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17.9%</w:t>
            </w:r>
          </w:p>
        </w:tc>
      </w:tr>
      <w:tr w:rsidR="003F6D20" w:rsidRPr="00EE335B" w14:paraId="374D1989" w14:textId="77777777" w:rsidTr="00EE335B">
        <w:trPr>
          <w:trHeight w:val="334"/>
          <w:jc w:val="center"/>
        </w:trPr>
        <w:tc>
          <w:tcPr>
            <w:cnfStyle w:val="001000000000" w:firstRow="0" w:lastRow="0" w:firstColumn="1" w:lastColumn="0" w:oddVBand="0" w:evenVBand="0" w:oddHBand="0" w:evenHBand="0" w:firstRowFirstColumn="0" w:firstRowLastColumn="0" w:lastRowFirstColumn="0" w:lastRowLastColumn="0"/>
            <w:tcW w:w="1632" w:type="dxa"/>
            <w:tcBorders>
              <w:top w:val="nil"/>
              <w:left w:val="nil"/>
              <w:bottom w:val="nil"/>
              <w:right w:val="nil"/>
            </w:tcBorders>
            <w:shd w:val="clear" w:color="auto" w:fill="DAEEF3" w:themeFill="accent5" w:themeFillTint="33"/>
            <w:vAlign w:val="center"/>
          </w:tcPr>
          <w:p w14:paraId="7D8366E8" w14:textId="77777777" w:rsidR="003F6D20" w:rsidRPr="00EE335B" w:rsidRDefault="003F6D20" w:rsidP="00EE335B">
            <w:pPr>
              <w:pStyle w:val="NoSpacing"/>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35-44</w:t>
            </w:r>
          </w:p>
        </w:tc>
        <w:tc>
          <w:tcPr>
            <w:tcW w:w="1744" w:type="dxa"/>
            <w:tcBorders>
              <w:top w:val="nil"/>
              <w:left w:val="nil"/>
              <w:bottom w:val="nil"/>
              <w:right w:val="nil"/>
            </w:tcBorders>
            <w:vAlign w:val="center"/>
          </w:tcPr>
          <w:p w14:paraId="350FC5D2"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15.9%</w:t>
            </w:r>
          </w:p>
        </w:tc>
        <w:tc>
          <w:tcPr>
            <w:tcW w:w="1744" w:type="dxa"/>
            <w:tcBorders>
              <w:top w:val="nil"/>
              <w:left w:val="nil"/>
              <w:bottom w:val="nil"/>
              <w:right w:val="nil"/>
            </w:tcBorders>
            <w:vAlign w:val="center"/>
          </w:tcPr>
          <w:p w14:paraId="3924E6BA"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9.0%</w:t>
            </w:r>
          </w:p>
        </w:tc>
        <w:tc>
          <w:tcPr>
            <w:tcW w:w="1744" w:type="dxa"/>
            <w:tcBorders>
              <w:top w:val="nil"/>
              <w:left w:val="nil"/>
              <w:bottom w:val="nil"/>
              <w:right w:val="nil"/>
            </w:tcBorders>
            <w:vAlign w:val="center"/>
          </w:tcPr>
          <w:p w14:paraId="57B43474"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15.1%</w:t>
            </w:r>
          </w:p>
        </w:tc>
      </w:tr>
      <w:tr w:rsidR="003F6D20" w:rsidRPr="00EE335B" w14:paraId="587E6A6C" w14:textId="77777777" w:rsidTr="00EE335B">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1632" w:type="dxa"/>
            <w:tcBorders>
              <w:top w:val="nil"/>
              <w:left w:val="nil"/>
              <w:bottom w:val="nil"/>
              <w:right w:val="nil"/>
            </w:tcBorders>
            <w:shd w:val="clear" w:color="auto" w:fill="auto"/>
            <w:vAlign w:val="center"/>
          </w:tcPr>
          <w:p w14:paraId="23D97CFB" w14:textId="77777777" w:rsidR="003F6D20" w:rsidRPr="00EE335B" w:rsidRDefault="003F6D20" w:rsidP="00EE335B">
            <w:pPr>
              <w:pStyle w:val="NoSpacing"/>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45-54</w:t>
            </w:r>
          </w:p>
        </w:tc>
        <w:tc>
          <w:tcPr>
            <w:tcW w:w="1744" w:type="dxa"/>
            <w:tcBorders>
              <w:top w:val="nil"/>
              <w:left w:val="nil"/>
              <w:bottom w:val="nil"/>
              <w:right w:val="nil"/>
            </w:tcBorders>
            <w:shd w:val="clear" w:color="auto" w:fill="auto"/>
            <w:vAlign w:val="center"/>
          </w:tcPr>
          <w:p w14:paraId="699C6559"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14.6%</w:t>
            </w:r>
          </w:p>
        </w:tc>
        <w:tc>
          <w:tcPr>
            <w:tcW w:w="1744" w:type="dxa"/>
            <w:tcBorders>
              <w:top w:val="nil"/>
              <w:left w:val="nil"/>
              <w:bottom w:val="nil"/>
              <w:right w:val="nil"/>
            </w:tcBorders>
            <w:shd w:val="clear" w:color="auto" w:fill="auto"/>
            <w:vAlign w:val="center"/>
          </w:tcPr>
          <w:p w14:paraId="2FE90211"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16.3%</w:t>
            </w:r>
          </w:p>
        </w:tc>
        <w:tc>
          <w:tcPr>
            <w:tcW w:w="1744" w:type="dxa"/>
            <w:tcBorders>
              <w:top w:val="nil"/>
              <w:left w:val="nil"/>
              <w:bottom w:val="nil"/>
              <w:right w:val="nil"/>
            </w:tcBorders>
            <w:shd w:val="clear" w:color="auto" w:fill="auto"/>
            <w:vAlign w:val="center"/>
          </w:tcPr>
          <w:p w14:paraId="19010DE3"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14.8%</w:t>
            </w:r>
          </w:p>
        </w:tc>
      </w:tr>
      <w:tr w:rsidR="003F6D20" w:rsidRPr="00EE335B" w14:paraId="7F68C341" w14:textId="77777777" w:rsidTr="00EE335B">
        <w:trPr>
          <w:trHeight w:val="334"/>
          <w:jc w:val="center"/>
        </w:trPr>
        <w:tc>
          <w:tcPr>
            <w:cnfStyle w:val="001000000000" w:firstRow="0" w:lastRow="0" w:firstColumn="1" w:lastColumn="0" w:oddVBand="0" w:evenVBand="0" w:oddHBand="0" w:evenHBand="0" w:firstRowFirstColumn="0" w:firstRowLastColumn="0" w:lastRowFirstColumn="0" w:lastRowLastColumn="0"/>
            <w:tcW w:w="1632" w:type="dxa"/>
            <w:tcBorders>
              <w:top w:val="nil"/>
              <w:left w:val="nil"/>
              <w:bottom w:val="nil"/>
              <w:right w:val="nil"/>
            </w:tcBorders>
            <w:shd w:val="clear" w:color="auto" w:fill="DAEEF3" w:themeFill="accent5" w:themeFillTint="33"/>
            <w:vAlign w:val="center"/>
          </w:tcPr>
          <w:p w14:paraId="04C58A7A" w14:textId="77777777" w:rsidR="003F6D20" w:rsidRPr="00EE335B" w:rsidRDefault="003F6D20" w:rsidP="00EE335B">
            <w:pPr>
              <w:pStyle w:val="NoSpacing"/>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55+</w:t>
            </w:r>
          </w:p>
        </w:tc>
        <w:tc>
          <w:tcPr>
            <w:tcW w:w="1744" w:type="dxa"/>
            <w:tcBorders>
              <w:top w:val="nil"/>
              <w:left w:val="nil"/>
              <w:bottom w:val="nil"/>
              <w:right w:val="nil"/>
            </w:tcBorders>
            <w:vAlign w:val="center"/>
          </w:tcPr>
          <w:p w14:paraId="295E2A9C"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28.1%</w:t>
            </w:r>
          </w:p>
        </w:tc>
        <w:tc>
          <w:tcPr>
            <w:tcW w:w="1744" w:type="dxa"/>
            <w:tcBorders>
              <w:top w:val="nil"/>
              <w:left w:val="nil"/>
              <w:bottom w:val="nil"/>
              <w:right w:val="nil"/>
            </w:tcBorders>
            <w:vAlign w:val="center"/>
          </w:tcPr>
          <w:p w14:paraId="1C9576AB"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40.7%</w:t>
            </w:r>
          </w:p>
        </w:tc>
        <w:tc>
          <w:tcPr>
            <w:tcW w:w="1744" w:type="dxa"/>
            <w:tcBorders>
              <w:top w:val="nil"/>
              <w:left w:val="nil"/>
              <w:bottom w:val="nil"/>
              <w:right w:val="nil"/>
            </w:tcBorders>
            <w:vAlign w:val="center"/>
          </w:tcPr>
          <w:p w14:paraId="2CF6495A"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29.6%</w:t>
            </w:r>
          </w:p>
        </w:tc>
      </w:tr>
      <w:tr w:rsidR="003F6D20" w:rsidRPr="00EE335B" w14:paraId="26382B99" w14:textId="77777777" w:rsidTr="00EE335B">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1632" w:type="dxa"/>
            <w:tcBorders>
              <w:top w:val="single" w:sz="4" w:space="0" w:color="auto"/>
              <w:bottom w:val="single" w:sz="4" w:space="0" w:color="auto"/>
            </w:tcBorders>
            <w:shd w:val="clear" w:color="auto" w:fill="FFFFFF" w:themeFill="background1"/>
            <w:vAlign w:val="center"/>
          </w:tcPr>
          <w:p w14:paraId="71179257" w14:textId="77777777" w:rsidR="003F6D20" w:rsidRPr="00EE335B" w:rsidRDefault="003F6D20" w:rsidP="00EE335B">
            <w:pPr>
              <w:rPr>
                <w:rFonts w:cs="Times New Roman"/>
                <w:b w:val="0"/>
                <w:color w:val="215868" w:themeColor="accent5" w:themeShade="80"/>
                <w:sz w:val="14"/>
              </w:rPr>
            </w:pPr>
            <w:r w:rsidRPr="00EE335B">
              <w:rPr>
                <w:rFonts w:cs="Times New Roman"/>
                <w:b w:val="0"/>
                <w:color w:val="215868" w:themeColor="accent5" w:themeShade="80"/>
                <w:sz w:val="14"/>
              </w:rPr>
              <w:t>Total</w:t>
            </w:r>
          </w:p>
        </w:tc>
        <w:tc>
          <w:tcPr>
            <w:tcW w:w="1744" w:type="dxa"/>
            <w:tcBorders>
              <w:top w:val="single" w:sz="4" w:space="0" w:color="auto"/>
              <w:bottom w:val="single" w:sz="4" w:space="0" w:color="auto"/>
            </w:tcBorders>
            <w:shd w:val="clear" w:color="auto" w:fill="FFFFFF" w:themeFill="background1"/>
            <w:vAlign w:val="center"/>
          </w:tcPr>
          <w:p w14:paraId="30560C04"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744" w:type="dxa"/>
            <w:tcBorders>
              <w:top w:val="single" w:sz="4" w:space="0" w:color="auto"/>
              <w:bottom w:val="single" w:sz="4" w:space="0" w:color="auto"/>
            </w:tcBorders>
            <w:shd w:val="clear" w:color="auto" w:fill="FFFFFF" w:themeFill="background1"/>
            <w:vAlign w:val="center"/>
          </w:tcPr>
          <w:p w14:paraId="7017CB65"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744" w:type="dxa"/>
            <w:tcBorders>
              <w:top w:val="single" w:sz="4" w:space="0" w:color="auto"/>
              <w:bottom w:val="single" w:sz="4" w:space="0" w:color="auto"/>
            </w:tcBorders>
            <w:shd w:val="clear" w:color="auto" w:fill="FFFFFF" w:themeFill="background1"/>
            <w:vAlign w:val="center"/>
          </w:tcPr>
          <w:p w14:paraId="5BE2C8A4"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r>
    </w:tbl>
    <w:p w14:paraId="53ED5543" w14:textId="77777777" w:rsidR="003F6D20" w:rsidRDefault="003F6D20" w:rsidP="003F6D20">
      <w:pPr>
        <w:rPr>
          <w:rFonts w:cs="Times New Roman"/>
          <w:i/>
          <w:sz w:val="14"/>
        </w:rPr>
      </w:pPr>
      <w:r w:rsidRPr="00EE335B">
        <w:rPr>
          <w:rFonts w:cs="Times New Roman"/>
          <w:i/>
          <w:sz w:val="14"/>
        </w:rPr>
        <w:t>Source: 2014 American Community Survey (Census)</w:t>
      </w:r>
    </w:p>
    <w:p w14:paraId="67F80439" w14:textId="77777777" w:rsidR="001C65FC" w:rsidRPr="00EE335B" w:rsidRDefault="001C65FC" w:rsidP="003F6D20">
      <w:pPr>
        <w:rPr>
          <w:rFonts w:cs="Times New Roman"/>
          <w:sz w:val="20"/>
        </w:rPr>
      </w:pPr>
    </w:p>
    <w:p w14:paraId="616EFAB5" w14:textId="77777777" w:rsidR="003F6D20" w:rsidRPr="00EE335B" w:rsidRDefault="003F6D20" w:rsidP="003D4C4D">
      <w:pPr>
        <w:pStyle w:val="Heading4"/>
      </w:pPr>
      <w:r w:rsidRPr="00EE335B">
        <w:t>Educational Attainment</w:t>
      </w:r>
    </w:p>
    <w:p w14:paraId="7994DD46" w14:textId="1156E49F" w:rsidR="003F6D20" w:rsidRPr="00EE335B" w:rsidRDefault="003F6D20" w:rsidP="00B71792">
      <w:pPr>
        <w:pStyle w:val="Normalwithspacebetween"/>
      </w:pPr>
      <w:r w:rsidRPr="00EE335B">
        <w:t>Among those aged 25 or older, 95.3</w:t>
      </w:r>
      <w:r w:rsidR="00B5133B">
        <w:t xml:space="preserve"> percent</w:t>
      </w:r>
      <w:r w:rsidRPr="00EE335B">
        <w:t xml:space="preserve"> of the district area population were high school graduates or higher and 64.5</w:t>
      </w:r>
      <w:r w:rsidR="00B5133B">
        <w:t xml:space="preserve"> percent</w:t>
      </w:r>
      <w:r w:rsidRPr="00EE335B">
        <w:t xml:space="preserve"> attained a bachelor’s or higher degree.</w:t>
      </w:r>
    </w:p>
    <w:p w14:paraId="5EF9B95E" w14:textId="77777777" w:rsidR="003F6D20" w:rsidRPr="00EE335B" w:rsidRDefault="003F6D20" w:rsidP="003F6D20">
      <w:pPr>
        <w:pStyle w:val="NoSpacing"/>
        <w:rPr>
          <w:rFonts w:ascii="Times New Roman" w:hAnsi="Times New Roman" w:cs="Times New Roman"/>
        </w:rPr>
      </w:pPr>
    </w:p>
    <w:p w14:paraId="2D493D91" w14:textId="77777777" w:rsidR="003F6D20" w:rsidRPr="00EE335B" w:rsidRDefault="003F6D20" w:rsidP="003F6D20">
      <w:pPr>
        <w:jc w:val="center"/>
        <w:rPr>
          <w:rFonts w:cs="Times New Roman"/>
          <w:sz w:val="20"/>
        </w:rPr>
      </w:pPr>
      <w:r w:rsidRPr="00EE335B">
        <w:rPr>
          <w:rFonts w:cs="Times New Roman"/>
          <w:sz w:val="20"/>
        </w:rPr>
        <w:t>District Area Population Highest Education Attainment (2014)</w:t>
      </w:r>
    </w:p>
    <w:tbl>
      <w:tblPr>
        <w:tblStyle w:val="GridTable5Dark-Accent51"/>
        <w:tblW w:w="8494" w:type="dxa"/>
        <w:jc w:val="center"/>
        <w:tblLook w:val="04A0" w:firstRow="1" w:lastRow="0" w:firstColumn="1" w:lastColumn="0" w:noHBand="0" w:noVBand="1"/>
      </w:tblPr>
      <w:tblGrid>
        <w:gridCol w:w="2020"/>
        <w:gridCol w:w="2158"/>
        <w:gridCol w:w="2158"/>
        <w:gridCol w:w="2158"/>
      </w:tblGrid>
      <w:tr w:rsidR="003F6D20" w:rsidRPr="00EE335B" w14:paraId="0F58B7D2" w14:textId="77777777" w:rsidTr="00EE335B">
        <w:trPr>
          <w:cnfStyle w:val="100000000000" w:firstRow="1" w:lastRow="0" w:firstColumn="0" w:lastColumn="0" w:oddVBand="0" w:evenVBand="0" w:oddHBand="0"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2020" w:type="dxa"/>
            <w:tcBorders>
              <w:top w:val="nil"/>
              <w:left w:val="nil"/>
              <w:bottom w:val="nil"/>
            </w:tcBorders>
          </w:tcPr>
          <w:p w14:paraId="6DCBA529" w14:textId="77777777" w:rsidR="003F6D20" w:rsidRPr="00EE335B" w:rsidRDefault="003F6D20" w:rsidP="00EE335B">
            <w:pPr>
              <w:rPr>
                <w:rFonts w:cs="Times New Roman"/>
                <w:b w:val="0"/>
                <w:sz w:val="16"/>
              </w:rPr>
            </w:pPr>
          </w:p>
        </w:tc>
        <w:tc>
          <w:tcPr>
            <w:tcW w:w="2158" w:type="dxa"/>
            <w:tcBorders>
              <w:top w:val="nil"/>
              <w:bottom w:val="nil"/>
            </w:tcBorders>
          </w:tcPr>
          <w:p w14:paraId="388C0CA8"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City of Santa Monica               (N = 71,542)</w:t>
            </w:r>
          </w:p>
        </w:tc>
        <w:tc>
          <w:tcPr>
            <w:tcW w:w="2158" w:type="dxa"/>
            <w:tcBorders>
              <w:top w:val="nil"/>
              <w:bottom w:val="nil"/>
            </w:tcBorders>
          </w:tcPr>
          <w:p w14:paraId="6FCE5F1F"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City of Malibu</w:t>
            </w:r>
            <w:r w:rsidRPr="00EE335B">
              <w:rPr>
                <w:rFonts w:ascii="Times New Roman" w:hAnsi="Times New Roman" w:cs="Times New Roman"/>
                <w:b w:val="0"/>
                <w:sz w:val="14"/>
              </w:rPr>
              <w:br/>
              <w:t>(N = 9,329)</w:t>
            </w:r>
          </w:p>
        </w:tc>
        <w:tc>
          <w:tcPr>
            <w:tcW w:w="2158" w:type="dxa"/>
            <w:tcBorders>
              <w:top w:val="nil"/>
              <w:bottom w:val="nil"/>
            </w:tcBorders>
          </w:tcPr>
          <w:p w14:paraId="5B241D26"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Total District Area</w:t>
            </w:r>
          </w:p>
          <w:p w14:paraId="137F226F"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80,871)</w:t>
            </w:r>
          </w:p>
        </w:tc>
      </w:tr>
      <w:tr w:rsidR="003F6D20" w:rsidRPr="00EE335B" w14:paraId="00A538C8" w14:textId="77777777" w:rsidTr="00EE335B">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020" w:type="dxa"/>
            <w:tcBorders>
              <w:top w:val="nil"/>
              <w:left w:val="nil"/>
              <w:bottom w:val="nil"/>
              <w:right w:val="nil"/>
            </w:tcBorders>
            <w:shd w:val="clear" w:color="auto" w:fill="auto"/>
            <w:vAlign w:val="center"/>
          </w:tcPr>
          <w:p w14:paraId="5990AF4E" w14:textId="77777777" w:rsidR="003F6D20" w:rsidRPr="00EE335B" w:rsidRDefault="003F6D20" w:rsidP="00EE335B">
            <w:pPr>
              <w:pStyle w:val="NoSpacing"/>
              <w:rPr>
                <w:rFonts w:ascii="Times New Roman" w:hAnsi="Times New Roman" w:cs="Times New Roman"/>
                <w:b w:val="0"/>
                <w:color w:val="auto"/>
                <w:sz w:val="14"/>
              </w:rPr>
            </w:pPr>
            <w:r w:rsidRPr="00EE335B">
              <w:rPr>
                <w:rFonts w:ascii="Times New Roman" w:hAnsi="Times New Roman" w:cs="Times New Roman"/>
                <w:b w:val="0"/>
                <w:color w:val="auto"/>
                <w:sz w:val="14"/>
              </w:rPr>
              <w:t>Less than high school graduate</w:t>
            </w:r>
          </w:p>
        </w:tc>
        <w:tc>
          <w:tcPr>
            <w:tcW w:w="2158" w:type="dxa"/>
            <w:tcBorders>
              <w:top w:val="nil"/>
              <w:left w:val="nil"/>
              <w:bottom w:val="nil"/>
              <w:right w:val="nil"/>
            </w:tcBorders>
            <w:shd w:val="clear" w:color="auto" w:fill="FFFFFF" w:themeFill="background1"/>
            <w:vAlign w:val="center"/>
          </w:tcPr>
          <w:p w14:paraId="1EA23022"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5.0%</w:t>
            </w:r>
          </w:p>
        </w:tc>
        <w:tc>
          <w:tcPr>
            <w:tcW w:w="2158" w:type="dxa"/>
            <w:tcBorders>
              <w:top w:val="nil"/>
              <w:left w:val="nil"/>
              <w:bottom w:val="nil"/>
              <w:right w:val="nil"/>
            </w:tcBorders>
            <w:shd w:val="clear" w:color="auto" w:fill="FFFFFF" w:themeFill="background1"/>
            <w:vAlign w:val="center"/>
          </w:tcPr>
          <w:p w14:paraId="4F1D584D"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color w:val="000000"/>
                <w:sz w:val="14"/>
                <w:szCs w:val="14"/>
              </w:rPr>
              <w:t>2.5%</w:t>
            </w:r>
          </w:p>
        </w:tc>
        <w:tc>
          <w:tcPr>
            <w:tcW w:w="2158" w:type="dxa"/>
            <w:tcBorders>
              <w:top w:val="nil"/>
              <w:left w:val="nil"/>
              <w:bottom w:val="nil"/>
              <w:right w:val="nil"/>
            </w:tcBorders>
            <w:shd w:val="clear" w:color="auto" w:fill="FFFFFF" w:themeFill="background1"/>
            <w:vAlign w:val="center"/>
          </w:tcPr>
          <w:p w14:paraId="33D1548B"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color w:val="000000"/>
                <w:sz w:val="14"/>
                <w:szCs w:val="14"/>
              </w:rPr>
              <w:t>4.7%</w:t>
            </w:r>
          </w:p>
        </w:tc>
      </w:tr>
      <w:tr w:rsidR="003F6D20" w:rsidRPr="00EE335B" w14:paraId="0E2679DA" w14:textId="77777777" w:rsidTr="00EE335B">
        <w:trPr>
          <w:trHeight w:val="332"/>
          <w:jc w:val="center"/>
        </w:trPr>
        <w:tc>
          <w:tcPr>
            <w:cnfStyle w:val="001000000000" w:firstRow="0" w:lastRow="0" w:firstColumn="1" w:lastColumn="0" w:oddVBand="0" w:evenVBand="0" w:oddHBand="0" w:evenHBand="0" w:firstRowFirstColumn="0" w:firstRowLastColumn="0" w:lastRowFirstColumn="0" w:lastRowLastColumn="0"/>
            <w:tcW w:w="2020" w:type="dxa"/>
            <w:tcBorders>
              <w:top w:val="nil"/>
              <w:left w:val="nil"/>
              <w:bottom w:val="nil"/>
              <w:right w:val="nil"/>
            </w:tcBorders>
            <w:shd w:val="clear" w:color="auto" w:fill="DAEEF3" w:themeFill="accent5" w:themeFillTint="33"/>
            <w:vAlign w:val="center"/>
          </w:tcPr>
          <w:p w14:paraId="5D8013CA" w14:textId="77777777" w:rsidR="003F6D20" w:rsidRPr="00EE335B" w:rsidRDefault="003F6D20" w:rsidP="00EE335B">
            <w:pPr>
              <w:pStyle w:val="NoSpacing"/>
              <w:rPr>
                <w:rFonts w:ascii="Times New Roman" w:hAnsi="Times New Roman" w:cs="Times New Roman"/>
                <w:b w:val="0"/>
                <w:color w:val="auto"/>
                <w:sz w:val="14"/>
              </w:rPr>
            </w:pPr>
            <w:r w:rsidRPr="00EE335B">
              <w:rPr>
                <w:rFonts w:ascii="Times New Roman" w:hAnsi="Times New Roman" w:cs="Times New Roman"/>
                <w:b w:val="0"/>
                <w:color w:val="auto"/>
                <w:sz w:val="14"/>
              </w:rPr>
              <w:t>High school graduate (includes equivalency)</w:t>
            </w:r>
          </w:p>
        </w:tc>
        <w:tc>
          <w:tcPr>
            <w:tcW w:w="2158" w:type="dxa"/>
            <w:tcBorders>
              <w:top w:val="nil"/>
              <w:left w:val="nil"/>
              <w:bottom w:val="nil"/>
              <w:right w:val="nil"/>
            </w:tcBorders>
            <w:vAlign w:val="center"/>
          </w:tcPr>
          <w:p w14:paraId="15842300"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9.3%</w:t>
            </w:r>
          </w:p>
        </w:tc>
        <w:tc>
          <w:tcPr>
            <w:tcW w:w="2158" w:type="dxa"/>
            <w:tcBorders>
              <w:top w:val="nil"/>
              <w:left w:val="nil"/>
              <w:bottom w:val="nil"/>
              <w:right w:val="nil"/>
            </w:tcBorders>
            <w:vAlign w:val="center"/>
          </w:tcPr>
          <w:p w14:paraId="093F642F"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color w:val="000000"/>
                <w:sz w:val="14"/>
                <w:szCs w:val="14"/>
              </w:rPr>
              <w:t>12.1%</w:t>
            </w:r>
          </w:p>
        </w:tc>
        <w:tc>
          <w:tcPr>
            <w:tcW w:w="2158" w:type="dxa"/>
            <w:tcBorders>
              <w:top w:val="nil"/>
              <w:left w:val="nil"/>
              <w:bottom w:val="nil"/>
              <w:right w:val="nil"/>
            </w:tcBorders>
            <w:vAlign w:val="center"/>
          </w:tcPr>
          <w:p w14:paraId="5FF326DB"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color w:val="000000"/>
                <w:sz w:val="14"/>
                <w:szCs w:val="14"/>
              </w:rPr>
              <w:t>9.6%</w:t>
            </w:r>
          </w:p>
        </w:tc>
      </w:tr>
      <w:tr w:rsidR="003F6D20" w:rsidRPr="00EE335B" w14:paraId="42214744" w14:textId="77777777" w:rsidTr="00EE335B">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020" w:type="dxa"/>
            <w:tcBorders>
              <w:top w:val="nil"/>
              <w:left w:val="nil"/>
              <w:bottom w:val="nil"/>
              <w:right w:val="nil"/>
            </w:tcBorders>
            <w:shd w:val="clear" w:color="auto" w:fill="auto"/>
            <w:vAlign w:val="center"/>
          </w:tcPr>
          <w:p w14:paraId="751D4EF3" w14:textId="77777777" w:rsidR="003F6D20" w:rsidRPr="00EE335B" w:rsidRDefault="003F6D20" w:rsidP="00EE335B">
            <w:pPr>
              <w:pStyle w:val="NoSpacing"/>
              <w:rPr>
                <w:rFonts w:ascii="Times New Roman" w:hAnsi="Times New Roman" w:cs="Times New Roman"/>
                <w:b w:val="0"/>
                <w:color w:val="auto"/>
                <w:sz w:val="14"/>
              </w:rPr>
            </w:pPr>
            <w:r w:rsidRPr="00EE335B">
              <w:rPr>
                <w:rFonts w:ascii="Times New Roman" w:hAnsi="Times New Roman" w:cs="Times New Roman"/>
                <w:b w:val="0"/>
                <w:color w:val="auto"/>
                <w:sz w:val="14"/>
              </w:rPr>
              <w:t>Some college, no degree</w:t>
            </w:r>
          </w:p>
        </w:tc>
        <w:tc>
          <w:tcPr>
            <w:tcW w:w="2158" w:type="dxa"/>
            <w:tcBorders>
              <w:top w:val="nil"/>
              <w:left w:val="nil"/>
              <w:bottom w:val="nil"/>
              <w:right w:val="nil"/>
            </w:tcBorders>
            <w:shd w:val="clear" w:color="auto" w:fill="auto"/>
            <w:vAlign w:val="center"/>
          </w:tcPr>
          <w:p w14:paraId="006AA74F"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15.5%</w:t>
            </w:r>
          </w:p>
        </w:tc>
        <w:tc>
          <w:tcPr>
            <w:tcW w:w="2158" w:type="dxa"/>
            <w:tcBorders>
              <w:top w:val="nil"/>
              <w:left w:val="nil"/>
              <w:bottom w:val="nil"/>
              <w:right w:val="nil"/>
            </w:tcBorders>
            <w:shd w:val="clear" w:color="auto" w:fill="auto"/>
            <w:vAlign w:val="center"/>
          </w:tcPr>
          <w:p w14:paraId="16A12BE3"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color w:val="000000"/>
                <w:sz w:val="14"/>
                <w:szCs w:val="14"/>
              </w:rPr>
              <w:t>18.3%</w:t>
            </w:r>
          </w:p>
        </w:tc>
        <w:tc>
          <w:tcPr>
            <w:tcW w:w="2158" w:type="dxa"/>
            <w:tcBorders>
              <w:top w:val="nil"/>
              <w:left w:val="nil"/>
              <w:bottom w:val="nil"/>
              <w:right w:val="nil"/>
            </w:tcBorders>
            <w:shd w:val="clear" w:color="auto" w:fill="auto"/>
            <w:vAlign w:val="center"/>
          </w:tcPr>
          <w:p w14:paraId="401D610F"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color w:val="000000"/>
                <w:sz w:val="14"/>
                <w:szCs w:val="14"/>
              </w:rPr>
              <w:t>15.8%</w:t>
            </w:r>
          </w:p>
        </w:tc>
      </w:tr>
      <w:tr w:rsidR="003F6D20" w:rsidRPr="00EE335B" w14:paraId="511C3474" w14:textId="77777777" w:rsidTr="00EE335B">
        <w:trPr>
          <w:trHeight w:val="332"/>
          <w:jc w:val="center"/>
        </w:trPr>
        <w:tc>
          <w:tcPr>
            <w:cnfStyle w:val="001000000000" w:firstRow="0" w:lastRow="0" w:firstColumn="1" w:lastColumn="0" w:oddVBand="0" w:evenVBand="0" w:oddHBand="0" w:evenHBand="0" w:firstRowFirstColumn="0" w:firstRowLastColumn="0" w:lastRowFirstColumn="0" w:lastRowLastColumn="0"/>
            <w:tcW w:w="2020" w:type="dxa"/>
            <w:tcBorders>
              <w:top w:val="nil"/>
              <w:left w:val="nil"/>
              <w:bottom w:val="nil"/>
              <w:right w:val="nil"/>
            </w:tcBorders>
            <w:shd w:val="clear" w:color="auto" w:fill="DAEEF3" w:themeFill="accent5" w:themeFillTint="33"/>
            <w:vAlign w:val="center"/>
          </w:tcPr>
          <w:p w14:paraId="11B7D086" w14:textId="77777777" w:rsidR="003F6D20" w:rsidRPr="00EE335B" w:rsidRDefault="003F6D20" w:rsidP="00EE335B">
            <w:pPr>
              <w:pStyle w:val="NoSpacing"/>
              <w:rPr>
                <w:rFonts w:ascii="Times New Roman" w:hAnsi="Times New Roman" w:cs="Times New Roman"/>
                <w:b w:val="0"/>
                <w:color w:val="auto"/>
                <w:sz w:val="14"/>
              </w:rPr>
            </w:pPr>
            <w:r w:rsidRPr="00EE335B">
              <w:rPr>
                <w:rFonts w:ascii="Times New Roman" w:hAnsi="Times New Roman" w:cs="Times New Roman"/>
                <w:b w:val="0"/>
                <w:color w:val="auto"/>
                <w:sz w:val="14"/>
              </w:rPr>
              <w:t>Associate's degree</w:t>
            </w:r>
          </w:p>
        </w:tc>
        <w:tc>
          <w:tcPr>
            <w:tcW w:w="2158" w:type="dxa"/>
            <w:tcBorders>
              <w:top w:val="nil"/>
              <w:left w:val="nil"/>
              <w:bottom w:val="nil"/>
              <w:right w:val="nil"/>
            </w:tcBorders>
            <w:vAlign w:val="center"/>
          </w:tcPr>
          <w:p w14:paraId="53C76FD5"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5.2%</w:t>
            </w:r>
          </w:p>
        </w:tc>
        <w:tc>
          <w:tcPr>
            <w:tcW w:w="2158" w:type="dxa"/>
            <w:tcBorders>
              <w:top w:val="nil"/>
              <w:left w:val="nil"/>
              <w:bottom w:val="nil"/>
              <w:right w:val="nil"/>
            </w:tcBorders>
            <w:vAlign w:val="center"/>
          </w:tcPr>
          <w:p w14:paraId="251A1F57"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color w:val="000000"/>
                <w:sz w:val="14"/>
                <w:szCs w:val="14"/>
              </w:rPr>
              <w:t>6.8%</w:t>
            </w:r>
          </w:p>
        </w:tc>
        <w:tc>
          <w:tcPr>
            <w:tcW w:w="2158" w:type="dxa"/>
            <w:tcBorders>
              <w:top w:val="nil"/>
              <w:left w:val="nil"/>
              <w:bottom w:val="nil"/>
              <w:right w:val="nil"/>
            </w:tcBorders>
            <w:vAlign w:val="center"/>
          </w:tcPr>
          <w:p w14:paraId="763101BA"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color w:val="000000"/>
                <w:sz w:val="14"/>
                <w:szCs w:val="14"/>
              </w:rPr>
              <w:t>5.4%</w:t>
            </w:r>
          </w:p>
        </w:tc>
      </w:tr>
      <w:tr w:rsidR="003F6D20" w:rsidRPr="00EE335B" w14:paraId="615E9DB1" w14:textId="77777777" w:rsidTr="00EE335B">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020" w:type="dxa"/>
            <w:tcBorders>
              <w:top w:val="nil"/>
              <w:left w:val="nil"/>
              <w:bottom w:val="nil"/>
              <w:right w:val="nil"/>
            </w:tcBorders>
            <w:shd w:val="clear" w:color="auto" w:fill="auto"/>
            <w:vAlign w:val="center"/>
          </w:tcPr>
          <w:p w14:paraId="421537F5" w14:textId="77777777" w:rsidR="003F6D20" w:rsidRPr="00EE335B" w:rsidRDefault="003F6D20" w:rsidP="00EE335B">
            <w:pPr>
              <w:pStyle w:val="NoSpacing"/>
              <w:rPr>
                <w:rFonts w:ascii="Times New Roman" w:hAnsi="Times New Roman" w:cs="Times New Roman"/>
                <w:b w:val="0"/>
                <w:color w:val="auto"/>
                <w:sz w:val="14"/>
              </w:rPr>
            </w:pPr>
            <w:r w:rsidRPr="00EE335B">
              <w:rPr>
                <w:rFonts w:ascii="Times New Roman" w:hAnsi="Times New Roman" w:cs="Times New Roman"/>
                <w:b w:val="0"/>
                <w:color w:val="auto"/>
                <w:sz w:val="14"/>
              </w:rPr>
              <w:t>Bachelor's degree</w:t>
            </w:r>
          </w:p>
        </w:tc>
        <w:tc>
          <w:tcPr>
            <w:tcW w:w="2158" w:type="dxa"/>
            <w:tcBorders>
              <w:top w:val="nil"/>
              <w:left w:val="nil"/>
              <w:bottom w:val="nil"/>
              <w:right w:val="nil"/>
            </w:tcBorders>
            <w:shd w:val="clear" w:color="auto" w:fill="auto"/>
            <w:vAlign w:val="center"/>
          </w:tcPr>
          <w:p w14:paraId="43108879"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36.3%</w:t>
            </w:r>
          </w:p>
        </w:tc>
        <w:tc>
          <w:tcPr>
            <w:tcW w:w="2158" w:type="dxa"/>
            <w:tcBorders>
              <w:top w:val="nil"/>
              <w:left w:val="nil"/>
              <w:bottom w:val="nil"/>
              <w:right w:val="nil"/>
            </w:tcBorders>
            <w:shd w:val="clear" w:color="auto" w:fill="auto"/>
            <w:vAlign w:val="center"/>
          </w:tcPr>
          <w:p w14:paraId="6C5054F5"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color w:val="000000"/>
                <w:sz w:val="14"/>
                <w:szCs w:val="14"/>
              </w:rPr>
              <w:t>31.7%</w:t>
            </w:r>
          </w:p>
        </w:tc>
        <w:tc>
          <w:tcPr>
            <w:tcW w:w="2158" w:type="dxa"/>
            <w:tcBorders>
              <w:top w:val="nil"/>
              <w:left w:val="nil"/>
              <w:bottom w:val="nil"/>
              <w:right w:val="nil"/>
            </w:tcBorders>
            <w:shd w:val="clear" w:color="auto" w:fill="auto"/>
            <w:vAlign w:val="center"/>
          </w:tcPr>
          <w:p w14:paraId="60D83463"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color w:val="000000"/>
                <w:sz w:val="14"/>
                <w:szCs w:val="14"/>
              </w:rPr>
              <w:t>35.8%</w:t>
            </w:r>
          </w:p>
        </w:tc>
      </w:tr>
      <w:tr w:rsidR="003F6D20" w:rsidRPr="00EE335B" w14:paraId="0F34925E" w14:textId="77777777" w:rsidTr="00EE335B">
        <w:trPr>
          <w:trHeight w:val="332"/>
          <w:jc w:val="center"/>
        </w:trPr>
        <w:tc>
          <w:tcPr>
            <w:cnfStyle w:val="001000000000" w:firstRow="0" w:lastRow="0" w:firstColumn="1" w:lastColumn="0" w:oddVBand="0" w:evenVBand="0" w:oddHBand="0" w:evenHBand="0" w:firstRowFirstColumn="0" w:firstRowLastColumn="0" w:lastRowFirstColumn="0" w:lastRowLastColumn="0"/>
            <w:tcW w:w="2020" w:type="dxa"/>
            <w:tcBorders>
              <w:top w:val="nil"/>
              <w:left w:val="nil"/>
              <w:bottom w:val="nil"/>
              <w:right w:val="nil"/>
            </w:tcBorders>
            <w:shd w:val="clear" w:color="auto" w:fill="DAEEF3" w:themeFill="accent5" w:themeFillTint="33"/>
            <w:vAlign w:val="center"/>
          </w:tcPr>
          <w:p w14:paraId="05D48671" w14:textId="77777777" w:rsidR="003F6D20" w:rsidRPr="00EE335B" w:rsidRDefault="003F6D20" w:rsidP="00EE335B">
            <w:pPr>
              <w:pStyle w:val="NoSpacing"/>
              <w:rPr>
                <w:rFonts w:ascii="Times New Roman" w:hAnsi="Times New Roman" w:cs="Times New Roman"/>
                <w:b w:val="0"/>
                <w:color w:val="auto"/>
                <w:sz w:val="14"/>
              </w:rPr>
            </w:pPr>
            <w:r w:rsidRPr="00EE335B">
              <w:rPr>
                <w:rFonts w:ascii="Times New Roman" w:hAnsi="Times New Roman" w:cs="Times New Roman"/>
                <w:b w:val="0"/>
                <w:color w:val="auto"/>
                <w:sz w:val="14"/>
              </w:rPr>
              <w:t>Graduate or professional degree</w:t>
            </w:r>
          </w:p>
        </w:tc>
        <w:tc>
          <w:tcPr>
            <w:tcW w:w="2158" w:type="dxa"/>
            <w:tcBorders>
              <w:top w:val="nil"/>
              <w:left w:val="nil"/>
              <w:bottom w:val="nil"/>
              <w:right w:val="nil"/>
            </w:tcBorders>
            <w:vAlign w:val="center"/>
          </w:tcPr>
          <w:p w14:paraId="4536492F"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28.7%</w:t>
            </w:r>
          </w:p>
        </w:tc>
        <w:tc>
          <w:tcPr>
            <w:tcW w:w="2158" w:type="dxa"/>
            <w:tcBorders>
              <w:top w:val="nil"/>
              <w:left w:val="nil"/>
              <w:bottom w:val="nil"/>
              <w:right w:val="nil"/>
            </w:tcBorders>
            <w:vAlign w:val="center"/>
          </w:tcPr>
          <w:p w14:paraId="4EA26963"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color w:val="000000"/>
                <w:sz w:val="14"/>
                <w:szCs w:val="14"/>
              </w:rPr>
              <w:t>28.6%</w:t>
            </w:r>
          </w:p>
        </w:tc>
        <w:tc>
          <w:tcPr>
            <w:tcW w:w="2158" w:type="dxa"/>
            <w:tcBorders>
              <w:top w:val="nil"/>
              <w:left w:val="nil"/>
              <w:bottom w:val="nil"/>
              <w:right w:val="nil"/>
            </w:tcBorders>
            <w:vAlign w:val="center"/>
          </w:tcPr>
          <w:p w14:paraId="47B1E896"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color w:val="000000"/>
                <w:sz w:val="14"/>
                <w:szCs w:val="14"/>
              </w:rPr>
              <w:t>28.7%</w:t>
            </w:r>
          </w:p>
        </w:tc>
      </w:tr>
      <w:tr w:rsidR="003F6D20" w:rsidRPr="00EE335B" w14:paraId="4D845924" w14:textId="77777777" w:rsidTr="00EE335B">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020" w:type="dxa"/>
            <w:tcBorders>
              <w:top w:val="single" w:sz="4" w:space="0" w:color="auto"/>
              <w:bottom w:val="single" w:sz="4" w:space="0" w:color="auto"/>
            </w:tcBorders>
            <w:shd w:val="clear" w:color="auto" w:fill="FFFFFF" w:themeFill="background1"/>
            <w:vAlign w:val="center"/>
          </w:tcPr>
          <w:p w14:paraId="6EDFEBC0" w14:textId="77777777" w:rsidR="003F6D20" w:rsidRPr="00EE335B" w:rsidRDefault="003F6D20" w:rsidP="00EE335B">
            <w:pPr>
              <w:rPr>
                <w:rFonts w:cs="Times New Roman"/>
                <w:b w:val="0"/>
                <w:color w:val="215868" w:themeColor="accent5" w:themeShade="80"/>
                <w:sz w:val="14"/>
              </w:rPr>
            </w:pPr>
            <w:r w:rsidRPr="00EE335B">
              <w:rPr>
                <w:rFonts w:cs="Times New Roman"/>
                <w:b w:val="0"/>
                <w:color w:val="215868" w:themeColor="accent5" w:themeShade="80"/>
                <w:sz w:val="14"/>
              </w:rPr>
              <w:t>Total</w:t>
            </w:r>
          </w:p>
        </w:tc>
        <w:tc>
          <w:tcPr>
            <w:tcW w:w="2158" w:type="dxa"/>
            <w:tcBorders>
              <w:top w:val="single" w:sz="4" w:space="0" w:color="auto"/>
              <w:bottom w:val="single" w:sz="4" w:space="0" w:color="auto"/>
            </w:tcBorders>
            <w:shd w:val="clear" w:color="auto" w:fill="FFFFFF" w:themeFill="background1"/>
            <w:vAlign w:val="center"/>
          </w:tcPr>
          <w:p w14:paraId="1F640928"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2158" w:type="dxa"/>
            <w:tcBorders>
              <w:top w:val="single" w:sz="4" w:space="0" w:color="auto"/>
              <w:bottom w:val="single" w:sz="4" w:space="0" w:color="auto"/>
            </w:tcBorders>
            <w:shd w:val="clear" w:color="auto" w:fill="FFFFFF" w:themeFill="background1"/>
            <w:vAlign w:val="center"/>
          </w:tcPr>
          <w:p w14:paraId="5BC0064A"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2158" w:type="dxa"/>
            <w:tcBorders>
              <w:top w:val="single" w:sz="4" w:space="0" w:color="auto"/>
              <w:bottom w:val="single" w:sz="4" w:space="0" w:color="auto"/>
            </w:tcBorders>
            <w:shd w:val="clear" w:color="auto" w:fill="FFFFFF" w:themeFill="background1"/>
            <w:vAlign w:val="center"/>
          </w:tcPr>
          <w:p w14:paraId="70BE3F03"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r>
    </w:tbl>
    <w:p w14:paraId="695C8814" w14:textId="77777777" w:rsidR="003F6D20" w:rsidRDefault="003F6D20" w:rsidP="003F6D20">
      <w:pPr>
        <w:rPr>
          <w:rFonts w:cs="Times New Roman"/>
          <w:i/>
          <w:sz w:val="14"/>
        </w:rPr>
      </w:pPr>
      <w:r w:rsidRPr="00EE335B">
        <w:rPr>
          <w:rFonts w:cs="Times New Roman"/>
          <w:i/>
          <w:sz w:val="14"/>
        </w:rPr>
        <w:t>Source: 2014 American Community Survey (Census)</w:t>
      </w:r>
    </w:p>
    <w:p w14:paraId="33F1AFE6" w14:textId="77777777" w:rsidR="001C65FC" w:rsidRPr="00EE335B" w:rsidRDefault="001C65FC" w:rsidP="003F6D20">
      <w:pPr>
        <w:rPr>
          <w:rFonts w:cs="Times New Roman"/>
          <w:sz w:val="20"/>
        </w:rPr>
      </w:pPr>
    </w:p>
    <w:p w14:paraId="30C6EAFB" w14:textId="5A3164B7" w:rsidR="001C65FC" w:rsidRPr="001C65FC" w:rsidRDefault="003F6D20" w:rsidP="001C65FC">
      <w:pPr>
        <w:pStyle w:val="Heading4"/>
      </w:pPr>
      <w:r w:rsidRPr="00EE335B">
        <w:t>Income Levels</w:t>
      </w:r>
    </w:p>
    <w:p w14:paraId="14D6E34F" w14:textId="7EA6C5BE" w:rsidR="003F6D20" w:rsidRPr="00EE335B" w:rsidRDefault="003F6D20" w:rsidP="00B71792">
      <w:pPr>
        <w:pStyle w:val="Normalwithspacebetween"/>
      </w:pPr>
      <w:r w:rsidRPr="00EE335B">
        <w:t xml:space="preserve">Data from the 2014 American Community Survey reveal that the median household income of Santa Monica College’s district </w:t>
      </w:r>
      <w:r w:rsidRPr="003D4C4D">
        <w:t>a</w:t>
      </w:r>
      <w:r w:rsidRPr="00EE335B">
        <w:t>rea is higher than the Los Angeles county median household income of $55,870. The pattern is similar for the mean household income; the mean household income in Santa Monica and Malibu were $111,973 and $228,725, respectively, higher than the Los Angeles County mean household income of $82,109. The percentage of families living below the poverty line in 2014 was 5.2</w:t>
      </w:r>
      <w:r w:rsidR="00B5133B">
        <w:t xml:space="preserve"> percent</w:t>
      </w:r>
      <w:r w:rsidRPr="00EE335B">
        <w:t xml:space="preserve"> and 6.4</w:t>
      </w:r>
      <w:r w:rsidR="00B5133B">
        <w:t xml:space="preserve"> percent</w:t>
      </w:r>
      <w:r w:rsidRPr="00EE335B">
        <w:t xml:space="preserve"> in Santa Monica and Malibu, respectively.</w:t>
      </w:r>
    </w:p>
    <w:p w14:paraId="7A3E452F" w14:textId="77777777" w:rsidR="003F6D20" w:rsidRPr="00EE335B" w:rsidRDefault="003F6D20" w:rsidP="003F6D20">
      <w:pPr>
        <w:jc w:val="center"/>
        <w:rPr>
          <w:rFonts w:cs="Times New Roman"/>
          <w:sz w:val="20"/>
        </w:rPr>
      </w:pPr>
      <w:r w:rsidRPr="00EE335B">
        <w:rPr>
          <w:rFonts w:cs="Times New Roman"/>
          <w:sz w:val="20"/>
        </w:rPr>
        <w:t>District Area Population Highest Median/Mean Household Income (2014)</w:t>
      </w:r>
    </w:p>
    <w:tbl>
      <w:tblPr>
        <w:tblStyle w:val="GridTable5Dark-Accent51"/>
        <w:tblW w:w="5120" w:type="dxa"/>
        <w:jc w:val="center"/>
        <w:tblLook w:val="04A0" w:firstRow="1" w:lastRow="0" w:firstColumn="1" w:lastColumn="0" w:noHBand="0" w:noVBand="1"/>
      </w:tblPr>
      <w:tblGrid>
        <w:gridCol w:w="1632"/>
        <w:gridCol w:w="1744"/>
        <w:gridCol w:w="1744"/>
      </w:tblGrid>
      <w:tr w:rsidR="003F6D20" w:rsidRPr="00EE335B" w14:paraId="69DE00BD" w14:textId="77777777" w:rsidTr="00EE335B">
        <w:trPr>
          <w:cnfStyle w:val="100000000000" w:firstRow="1" w:lastRow="0" w:firstColumn="0" w:lastColumn="0" w:oddVBand="0" w:evenVBand="0" w:oddHBand="0"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1632" w:type="dxa"/>
            <w:tcBorders>
              <w:top w:val="nil"/>
              <w:left w:val="nil"/>
              <w:bottom w:val="nil"/>
            </w:tcBorders>
          </w:tcPr>
          <w:p w14:paraId="41F11888" w14:textId="77777777" w:rsidR="003F6D20" w:rsidRPr="00EE335B" w:rsidRDefault="003F6D20" w:rsidP="00EE335B">
            <w:pPr>
              <w:rPr>
                <w:rFonts w:cs="Times New Roman"/>
                <w:b w:val="0"/>
                <w:sz w:val="16"/>
              </w:rPr>
            </w:pPr>
          </w:p>
        </w:tc>
        <w:tc>
          <w:tcPr>
            <w:tcW w:w="1744" w:type="dxa"/>
            <w:tcBorders>
              <w:top w:val="nil"/>
              <w:bottom w:val="nil"/>
            </w:tcBorders>
          </w:tcPr>
          <w:p w14:paraId="5946E801"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City of Santa Monica               (N = 46,536)</w:t>
            </w:r>
          </w:p>
        </w:tc>
        <w:tc>
          <w:tcPr>
            <w:tcW w:w="1744" w:type="dxa"/>
            <w:tcBorders>
              <w:top w:val="nil"/>
              <w:bottom w:val="nil"/>
            </w:tcBorders>
          </w:tcPr>
          <w:p w14:paraId="103F5CF6"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City of Malibu</w:t>
            </w:r>
            <w:r w:rsidRPr="00EE335B">
              <w:rPr>
                <w:rFonts w:ascii="Times New Roman" w:hAnsi="Times New Roman" w:cs="Times New Roman"/>
                <w:b w:val="0"/>
                <w:sz w:val="14"/>
              </w:rPr>
              <w:br/>
              <w:t>(N = 5,245)</w:t>
            </w:r>
          </w:p>
        </w:tc>
      </w:tr>
      <w:tr w:rsidR="003F6D20" w:rsidRPr="00EE335B" w14:paraId="7EF6623A" w14:textId="77777777" w:rsidTr="00EE335B">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1632" w:type="dxa"/>
            <w:tcBorders>
              <w:top w:val="nil"/>
              <w:left w:val="nil"/>
              <w:bottom w:val="nil"/>
              <w:right w:val="nil"/>
            </w:tcBorders>
            <w:shd w:val="clear" w:color="auto" w:fill="auto"/>
            <w:vAlign w:val="center"/>
          </w:tcPr>
          <w:p w14:paraId="04CF356B" w14:textId="77777777" w:rsidR="003F6D20" w:rsidRPr="00EE335B" w:rsidRDefault="003F6D20" w:rsidP="00EE335B">
            <w:pPr>
              <w:pStyle w:val="NoSpacing"/>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Median household income ($)</w:t>
            </w:r>
          </w:p>
        </w:tc>
        <w:tc>
          <w:tcPr>
            <w:tcW w:w="1744" w:type="dxa"/>
            <w:tcBorders>
              <w:top w:val="nil"/>
              <w:left w:val="nil"/>
              <w:bottom w:val="nil"/>
              <w:right w:val="nil"/>
            </w:tcBorders>
            <w:shd w:val="clear" w:color="auto" w:fill="FFFFFF" w:themeFill="background1"/>
            <w:vAlign w:val="center"/>
          </w:tcPr>
          <w:p w14:paraId="1C410CC9"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74,534</w:t>
            </w:r>
          </w:p>
        </w:tc>
        <w:tc>
          <w:tcPr>
            <w:tcW w:w="1744" w:type="dxa"/>
            <w:tcBorders>
              <w:top w:val="nil"/>
              <w:left w:val="nil"/>
              <w:bottom w:val="nil"/>
              <w:right w:val="nil"/>
            </w:tcBorders>
            <w:shd w:val="clear" w:color="auto" w:fill="FFFFFF" w:themeFill="background1"/>
            <w:vAlign w:val="center"/>
          </w:tcPr>
          <w:p w14:paraId="0694365E"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130,432</w:t>
            </w:r>
          </w:p>
        </w:tc>
      </w:tr>
      <w:tr w:rsidR="003F6D20" w:rsidRPr="00EE335B" w14:paraId="2E80898A" w14:textId="77777777" w:rsidTr="00EE335B">
        <w:trPr>
          <w:trHeight w:val="334"/>
          <w:jc w:val="center"/>
        </w:trPr>
        <w:tc>
          <w:tcPr>
            <w:cnfStyle w:val="001000000000" w:firstRow="0" w:lastRow="0" w:firstColumn="1" w:lastColumn="0" w:oddVBand="0" w:evenVBand="0" w:oddHBand="0" w:evenHBand="0" w:firstRowFirstColumn="0" w:firstRowLastColumn="0" w:lastRowFirstColumn="0" w:lastRowLastColumn="0"/>
            <w:tcW w:w="1632" w:type="dxa"/>
            <w:tcBorders>
              <w:top w:val="nil"/>
              <w:left w:val="nil"/>
              <w:bottom w:val="nil"/>
              <w:right w:val="nil"/>
            </w:tcBorders>
            <w:shd w:val="clear" w:color="auto" w:fill="DAEEF3" w:themeFill="accent5" w:themeFillTint="33"/>
            <w:vAlign w:val="center"/>
          </w:tcPr>
          <w:p w14:paraId="4D23401C" w14:textId="77777777" w:rsidR="003F6D20" w:rsidRPr="00EE335B" w:rsidRDefault="003F6D20" w:rsidP="00EE335B">
            <w:pPr>
              <w:pStyle w:val="NoSpacing"/>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Mean household income ($)</w:t>
            </w:r>
          </w:p>
        </w:tc>
        <w:tc>
          <w:tcPr>
            <w:tcW w:w="1744" w:type="dxa"/>
            <w:tcBorders>
              <w:top w:val="nil"/>
              <w:left w:val="nil"/>
              <w:bottom w:val="nil"/>
              <w:right w:val="nil"/>
            </w:tcBorders>
            <w:vAlign w:val="center"/>
          </w:tcPr>
          <w:p w14:paraId="5C5F4185"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111,973</w:t>
            </w:r>
          </w:p>
        </w:tc>
        <w:tc>
          <w:tcPr>
            <w:tcW w:w="1744" w:type="dxa"/>
            <w:tcBorders>
              <w:top w:val="nil"/>
              <w:left w:val="nil"/>
              <w:bottom w:val="nil"/>
              <w:right w:val="nil"/>
            </w:tcBorders>
            <w:vAlign w:val="center"/>
          </w:tcPr>
          <w:p w14:paraId="4D6172DE"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228,725</w:t>
            </w:r>
          </w:p>
        </w:tc>
      </w:tr>
      <w:tr w:rsidR="003F6D20" w:rsidRPr="00EE335B" w14:paraId="3119CEEA" w14:textId="77777777" w:rsidTr="00EE335B">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1632" w:type="dxa"/>
            <w:tcBorders>
              <w:top w:val="nil"/>
              <w:left w:val="nil"/>
              <w:bottom w:val="nil"/>
              <w:right w:val="nil"/>
            </w:tcBorders>
            <w:shd w:val="clear" w:color="auto" w:fill="auto"/>
            <w:vAlign w:val="center"/>
          </w:tcPr>
          <w:p w14:paraId="14293346" w14:textId="77777777" w:rsidR="003F6D20" w:rsidRPr="00EE335B" w:rsidRDefault="003F6D20" w:rsidP="00EE335B">
            <w:pPr>
              <w:pStyle w:val="NoSpacing"/>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 Families Below the Poverty Line</w:t>
            </w:r>
          </w:p>
        </w:tc>
        <w:tc>
          <w:tcPr>
            <w:tcW w:w="1744" w:type="dxa"/>
            <w:tcBorders>
              <w:top w:val="nil"/>
              <w:left w:val="nil"/>
              <w:bottom w:val="nil"/>
              <w:right w:val="nil"/>
            </w:tcBorders>
            <w:shd w:val="clear" w:color="auto" w:fill="auto"/>
            <w:vAlign w:val="center"/>
          </w:tcPr>
          <w:p w14:paraId="0BA0CA7E"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5.2%</w:t>
            </w:r>
          </w:p>
        </w:tc>
        <w:tc>
          <w:tcPr>
            <w:tcW w:w="1744" w:type="dxa"/>
            <w:tcBorders>
              <w:top w:val="nil"/>
              <w:left w:val="nil"/>
              <w:bottom w:val="nil"/>
              <w:right w:val="nil"/>
            </w:tcBorders>
            <w:shd w:val="clear" w:color="auto" w:fill="auto"/>
            <w:vAlign w:val="center"/>
          </w:tcPr>
          <w:p w14:paraId="3284F0E2"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6.4%</w:t>
            </w:r>
          </w:p>
        </w:tc>
      </w:tr>
      <w:tr w:rsidR="003F6D20" w:rsidRPr="00EE335B" w14:paraId="0B93A436" w14:textId="77777777" w:rsidTr="007C3E4E">
        <w:trPr>
          <w:trHeight w:val="216"/>
          <w:jc w:val="center"/>
        </w:trPr>
        <w:tc>
          <w:tcPr>
            <w:cnfStyle w:val="001000000000" w:firstRow="0" w:lastRow="0" w:firstColumn="1" w:lastColumn="0" w:oddVBand="0" w:evenVBand="0" w:oddHBand="0" w:evenHBand="0" w:firstRowFirstColumn="0" w:firstRowLastColumn="0" w:lastRowFirstColumn="0" w:lastRowLastColumn="0"/>
            <w:tcW w:w="1632" w:type="dxa"/>
            <w:tcBorders>
              <w:top w:val="single" w:sz="4" w:space="0" w:color="auto"/>
              <w:bottom w:val="single" w:sz="4" w:space="0" w:color="auto"/>
            </w:tcBorders>
            <w:shd w:val="clear" w:color="auto" w:fill="FFFFFF" w:themeFill="background1"/>
            <w:vAlign w:val="center"/>
          </w:tcPr>
          <w:p w14:paraId="4623C56B" w14:textId="77777777" w:rsidR="003F6D20" w:rsidRPr="00EE335B" w:rsidRDefault="003F6D20" w:rsidP="00EE335B">
            <w:pPr>
              <w:rPr>
                <w:rFonts w:cs="Times New Roman"/>
                <w:b w:val="0"/>
                <w:color w:val="215868" w:themeColor="accent5" w:themeShade="80"/>
                <w:sz w:val="14"/>
              </w:rPr>
            </w:pPr>
            <w:r w:rsidRPr="00EE335B">
              <w:rPr>
                <w:rFonts w:cs="Times New Roman"/>
                <w:b w:val="0"/>
                <w:color w:val="215868" w:themeColor="accent5" w:themeShade="80"/>
                <w:sz w:val="14"/>
              </w:rPr>
              <w:t>Total</w:t>
            </w:r>
          </w:p>
        </w:tc>
        <w:tc>
          <w:tcPr>
            <w:tcW w:w="1744" w:type="dxa"/>
            <w:tcBorders>
              <w:top w:val="single" w:sz="4" w:space="0" w:color="auto"/>
              <w:bottom w:val="single" w:sz="4" w:space="0" w:color="auto"/>
            </w:tcBorders>
            <w:shd w:val="clear" w:color="auto" w:fill="FFFFFF" w:themeFill="background1"/>
            <w:vAlign w:val="center"/>
          </w:tcPr>
          <w:p w14:paraId="65596E9D"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1744" w:type="dxa"/>
            <w:tcBorders>
              <w:top w:val="single" w:sz="4" w:space="0" w:color="auto"/>
              <w:bottom w:val="single" w:sz="4" w:space="0" w:color="auto"/>
            </w:tcBorders>
            <w:shd w:val="clear" w:color="auto" w:fill="FFFFFF" w:themeFill="background1"/>
            <w:vAlign w:val="center"/>
          </w:tcPr>
          <w:p w14:paraId="32F56796"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r>
    </w:tbl>
    <w:p w14:paraId="3A0F605E" w14:textId="77777777" w:rsidR="003F6D20" w:rsidRPr="00EE335B" w:rsidRDefault="003F6D20" w:rsidP="007C3E4E">
      <w:pPr>
        <w:jc w:val="center"/>
        <w:rPr>
          <w:rFonts w:cs="Times New Roman"/>
          <w:sz w:val="20"/>
        </w:rPr>
      </w:pPr>
      <w:r w:rsidRPr="00EE335B">
        <w:rPr>
          <w:rFonts w:cs="Times New Roman"/>
          <w:i/>
          <w:sz w:val="14"/>
        </w:rPr>
        <w:t>Source: 2014 American Community Survey (Census)</w:t>
      </w:r>
    </w:p>
    <w:p w14:paraId="6096551E" w14:textId="7523F4DD" w:rsidR="003F6D20" w:rsidRPr="00EE335B" w:rsidRDefault="003F6D20" w:rsidP="003D4C4D">
      <w:pPr>
        <w:pStyle w:val="Heading3"/>
      </w:pPr>
      <w:r w:rsidRPr="00EE335B">
        <w:lastRenderedPageBreak/>
        <w:t>Emplo</w:t>
      </w:r>
      <w:r w:rsidR="003D4C4D">
        <w:t>y</w:t>
      </w:r>
      <w:r w:rsidRPr="00EE335B">
        <w:t>ment in District area</w:t>
      </w:r>
    </w:p>
    <w:p w14:paraId="41C2D429" w14:textId="77777777" w:rsidR="003F6D20" w:rsidRPr="00EE335B" w:rsidRDefault="003F6D20" w:rsidP="003D4C4D">
      <w:pPr>
        <w:pStyle w:val="Heading4"/>
      </w:pPr>
      <w:r w:rsidRPr="00EE335B">
        <w:t>Industry</w:t>
      </w:r>
    </w:p>
    <w:p w14:paraId="6A51F6E5" w14:textId="2BD1AC94" w:rsidR="003F6D20" w:rsidRPr="00EE335B" w:rsidRDefault="003F6D20" w:rsidP="00B71792">
      <w:pPr>
        <w:pStyle w:val="Normalwithspacebetween"/>
      </w:pPr>
      <w:r w:rsidRPr="00EE335B">
        <w:t>Within Santa Monica College’s district area, the professional, scientific, and technical services industry claimed the highest number of jobs (18,428) in the year 2015. This industry is expected to grow by 15</w:t>
      </w:r>
      <w:r w:rsidR="00B5133B">
        <w:t xml:space="preserve"> percent</w:t>
      </w:r>
      <w:r w:rsidRPr="00EE335B">
        <w:t xml:space="preserve"> by the year 2021. Subcategories of this industry include advertising, public relations, and related services, management, scientific, and technical consulting services, scientific research and development services, computer systems design and related services, legal services, architectural, engineering, and related services, and accounting, tax preparation, bookkeeping, and payroll services.</w:t>
      </w:r>
    </w:p>
    <w:p w14:paraId="6579A367" w14:textId="2F4D5C75" w:rsidR="003F6D20" w:rsidRPr="00EE335B" w:rsidRDefault="003F6D20" w:rsidP="00B71792">
      <w:pPr>
        <w:pStyle w:val="Normalwithspacebetween"/>
      </w:pPr>
      <w:r w:rsidRPr="00EE335B">
        <w:t>The industry with the fewest jobs in the district area was mining, quarrying, and oil and gas extraction (141 jobs in 2015), however, this industry is expected to experience a 13</w:t>
      </w:r>
      <w:r w:rsidR="00B5133B">
        <w:t xml:space="preserve"> percent</w:t>
      </w:r>
      <w:r w:rsidRPr="00EE335B">
        <w:t xml:space="preserve"> growth by the year 2021.</w:t>
      </w:r>
    </w:p>
    <w:p w14:paraId="067E9C0F" w14:textId="77777777" w:rsidR="003F6D20" w:rsidRPr="00EE335B" w:rsidRDefault="003F6D20" w:rsidP="003F6D20">
      <w:pPr>
        <w:jc w:val="center"/>
        <w:rPr>
          <w:rFonts w:cs="Times New Roman"/>
          <w:sz w:val="20"/>
        </w:rPr>
      </w:pPr>
    </w:p>
    <w:p w14:paraId="4235A5AB" w14:textId="77777777" w:rsidR="003F6D20" w:rsidRPr="00EE335B" w:rsidRDefault="003F6D20" w:rsidP="003D4C4D">
      <w:pPr>
        <w:keepNext/>
        <w:jc w:val="center"/>
        <w:rPr>
          <w:rFonts w:cs="Times New Roman"/>
          <w:sz w:val="20"/>
        </w:rPr>
      </w:pPr>
      <w:r w:rsidRPr="00EE335B">
        <w:rPr>
          <w:rFonts w:cs="Times New Roman"/>
          <w:sz w:val="20"/>
        </w:rPr>
        <w:t>2015 Jobs in District Area by Industry</w:t>
      </w:r>
    </w:p>
    <w:tbl>
      <w:tblPr>
        <w:tblW w:w="9960" w:type="dxa"/>
        <w:jc w:val="center"/>
        <w:tblLook w:val="04A0" w:firstRow="1" w:lastRow="0" w:firstColumn="1" w:lastColumn="0" w:noHBand="0" w:noVBand="1"/>
      </w:tblPr>
      <w:tblGrid>
        <w:gridCol w:w="720"/>
        <w:gridCol w:w="2600"/>
        <w:gridCol w:w="1660"/>
        <w:gridCol w:w="1660"/>
        <w:gridCol w:w="1660"/>
        <w:gridCol w:w="1660"/>
      </w:tblGrid>
      <w:tr w:rsidR="003F6D20" w:rsidRPr="00EE335B" w14:paraId="236424EE" w14:textId="77777777" w:rsidTr="00EE335B">
        <w:trPr>
          <w:trHeight w:val="510"/>
          <w:jc w:val="center"/>
        </w:trPr>
        <w:tc>
          <w:tcPr>
            <w:tcW w:w="720" w:type="dxa"/>
            <w:tcBorders>
              <w:top w:val="nil"/>
              <w:left w:val="nil"/>
              <w:bottom w:val="nil"/>
              <w:right w:val="nil"/>
            </w:tcBorders>
            <w:shd w:val="clear" w:color="auto" w:fill="4472C4"/>
            <w:vAlign w:val="center"/>
            <w:hideMark/>
          </w:tcPr>
          <w:p w14:paraId="1F217022" w14:textId="77777777" w:rsidR="003F6D20" w:rsidRPr="00EE335B" w:rsidRDefault="003F6D20" w:rsidP="003D4C4D">
            <w:pPr>
              <w:keepNext/>
              <w:rPr>
                <w:rFonts w:eastAsia="Times New Roman" w:cs="Times New Roman"/>
                <w:color w:val="FFFFFF"/>
                <w:sz w:val="14"/>
                <w:szCs w:val="14"/>
              </w:rPr>
            </w:pPr>
            <w:r w:rsidRPr="00EE335B">
              <w:rPr>
                <w:rFonts w:eastAsia="Times New Roman" w:cs="Times New Roman"/>
                <w:color w:val="FFFFFF"/>
                <w:sz w:val="14"/>
                <w:szCs w:val="14"/>
              </w:rPr>
              <w:t>NAICS</w:t>
            </w:r>
          </w:p>
        </w:tc>
        <w:tc>
          <w:tcPr>
            <w:tcW w:w="2600" w:type="dxa"/>
            <w:tcBorders>
              <w:top w:val="nil"/>
              <w:left w:val="nil"/>
              <w:bottom w:val="nil"/>
              <w:right w:val="nil"/>
            </w:tcBorders>
            <w:shd w:val="clear" w:color="auto" w:fill="4472C4"/>
            <w:vAlign w:val="center"/>
            <w:hideMark/>
          </w:tcPr>
          <w:p w14:paraId="60D7881D" w14:textId="77777777" w:rsidR="003F6D20" w:rsidRPr="00EE335B" w:rsidRDefault="003F6D20" w:rsidP="003D4C4D">
            <w:pPr>
              <w:keepNext/>
              <w:rPr>
                <w:rFonts w:eastAsia="Times New Roman" w:cs="Times New Roman"/>
                <w:color w:val="FFFFFF"/>
                <w:sz w:val="14"/>
                <w:szCs w:val="14"/>
              </w:rPr>
            </w:pPr>
            <w:r w:rsidRPr="00EE335B">
              <w:rPr>
                <w:rFonts w:eastAsia="Times New Roman" w:cs="Times New Roman"/>
                <w:color w:val="FFFFFF"/>
                <w:sz w:val="14"/>
                <w:szCs w:val="14"/>
              </w:rPr>
              <w:t>Description</w:t>
            </w:r>
          </w:p>
        </w:tc>
        <w:tc>
          <w:tcPr>
            <w:tcW w:w="1660" w:type="dxa"/>
            <w:tcBorders>
              <w:top w:val="nil"/>
              <w:left w:val="nil"/>
              <w:bottom w:val="nil"/>
              <w:right w:val="nil"/>
            </w:tcBorders>
            <w:shd w:val="clear" w:color="auto" w:fill="4472C4"/>
            <w:vAlign w:val="center"/>
            <w:hideMark/>
          </w:tcPr>
          <w:p w14:paraId="478DB07A" w14:textId="77777777" w:rsidR="003F6D20" w:rsidRPr="00EE335B" w:rsidRDefault="003F6D20" w:rsidP="003D4C4D">
            <w:pPr>
              <w:keepNext/>
              <w:jc w:val="center"/>
              <w:rPr>
                <w:rFonts w:eastAsia="Times New Roman" w:cs="Times New Roman"/>
                <w:color w:val="FFFFFF"/>
                <w:sz w:val="14"/>
                <w:szCs w:val="14"/>
              </w:rPr>
            </w:pPr>
            <w:r w:rsidRPr="00EE335B">
              <w:rPr>
                <w:rFonts w:eastAsia="Times New Roman" w:cs="Times New Roman"/>
                <w:color w:val="FFFFFF"/>
                <w:sz w:val="14"/>
                <w:szCs w:val="14"/>
              </w:rPr>
              <w:t>2015 Jobs</w:t>
            </w:r>
          </w:p>
        </w:tc>
        <w:tc>
          <w:tcPr>
            <w:tcW w:w="1660" w:type="dxa"/>
            <w:tcBorders>
              <w:top w:val="nil"/>
              <w:left w:val="nil"/>
              <w:bottom w:val="nil"/>
              <w:right w:val="nil"/>
            </w:tcBorders>
            <w:shd w:val="clear" w:color="auto" w:fill="4472C4"/>
            <w:vAlign w:val="center"/>
            <w:hideMark/>
          </w:tcPr>
          <w:p w14:paraId="21B82066" w14:textId="77777777" w:rsidR="003F6D20" w:rsidRPr="00EE335B" w:rsidRDefault="003F6D20" w:rsidP="003D4C4D">
            <w:pPr>
              <w:keepNext/>
              <w:jc w:val="center"/>
              <w:rPr>
                <w:rFonts w:eastAsia="Times New Roman" w:cs="Times New Roman"/>
                <w:color w:val="FFFFFF"/>
                <w:sz w:val="14"/>
                <w:szCs w:val="14"/>
              </w:rPr>
            </w:pPr>
            <w:r w:rsidRPr="00EE335B">
              <w:rPr>
                <w:rFonts w:eastAsia="Times New Roman" w:cs="Times New Roman"/>
                <w:color w:val="FFFFFF"/>
                <w:sz w:val="14"/>
                <w:szCs w:val="14"/>
              </w:rPr>
              <w:t>2021 Jobs</w:t>
            </w:r>
          </w:p>
        </w:tc>
        <w:tc>
          <w:tcPr>
            <w:tcW w:w="1660" w:type="dxa"/>
            <w:tcBorders>
              <w:top w:val="nil"/>
              <w:left w:val="nil"/>
              <w:bottom w:val="nil"/>
              <w:right w:val="nil"/>
            </w:tcBorders>
            <w:shd w:val="clear" w:color="auto" w:fill="4472C4"/>
            <w:vAlign w:val="center"/>
            <w:hideMark/>
          </w:tcPr>
          <w:p w14:paraId="2FBFA7FF" w14:textId="77777777" w:rsidR="003F6D20" w:rsidRPr="00EE335B" w:rsidRDefault="003F6D20" w:rsidP="003D4C4D">
            <w:pPr>
              <w:keepNext/>
              <w:jc w:val="center"/>
              <w:rPr>
                <w:rFonts w:eastAsia="Times New Roman" w:cs="Times New Roman"/>
                <w:color w:val="FFFFFF"/>
                <w:sz w:val="14"/>
                <w:szCs w:val="14"/>
              </w:rPr>
            </w:pPr>
            <w:r w:rsidRPr="00EE335B">
              <w:rPr>
                <w:rFonts w:eastAsia="Times New Roman" w:cs="Times New Roman"/>
                <w:color w:val="FFFFFF"/>
                <w:sz w:val="14"/>
                <w:szCs w:val="14"/>
              </w:rPr>
              <w:t>2015 - 2021 Change</w:t>
            </w:r>
          </w:p>
        </w:tc>
        <w:tc>
          <w:tcPr>
            <w:tcW w:w="1660" w:type="dxa"/>
            <w:tcBorders>
              <w:top w:val="nil"/>
              <w:left w:val="nil"/>
              <w:bottom w:val="nil"/>
              <w:right w:val="nil"/>
            </w:tcBorders>
            <w:shd w:val="clear" w:color="auto" w:fill="4472C4"/>
            <w:vAlign w:val="center"/>
            <w:hideMark/>
          </w:tcPr>
          <w:p w14:paraId="669CAB4A" w14:textId="77777777" w:rsidR="003F6D20" w:rsidRPr="00EE335B" w:rsidRDefault="003F6D20" w:rsidP="003D4C4D">
            <w:pPr>
              <w:keepNext/>
              <w:jc w:val="center"/>
              <w:rPr>
                <w:rFonts w:eastAsia="Times New Roman" w:cs="Times New Roman"/>
                <w:color w:val="FFFFFF"/>
                <w:sz w:val="14"/>
                <w:szCs w:val="14"/>
              </w:rPr>
            </w:pPr>
            <w:r w:rsidRPr="00EE335B">
              <w:rPr>
                <w:rFonts w:eastAsia="Times New Roman" w:cs="Times New Roman"/>
                <w:color w:val="FFFFFF"/>
                <w:sz w:val="14"/>
                <w:szCs w:val="14"/>
              </w:rPr>
              <w:t>2015 - 2021 % Change</w:t>
            </w:r>
          </w:p>
        </w:tc>
      </w:tr>
      <w:tr w:rsidR="003F6D20" w:rsidRPr="00EE335B" w14:paraId="76608B99" w14:textId="77777777" w:rsidTr="001C65FC">
        <w:trPr>
          <w:trHeight w:val="288"/>
          <w:jc w:val="center"/>
        </w:trPr>
        <w:tc>
          <w:tcPr>
            <w:tcW w:w="720" w:type="dxa"/>
            <w:tcBorders>
              <w:top w:val="nil"/>
              <w:left w:val="nil"/>
              <w:bottom w:val="nil"/>
              <w:right w:val="nil"/>
            </w:tcBorders>
            <w:shd w:val="clear" w:color="auto" w:fill="auto"/>
            <w:noWrap/>
            <w:vAlign w:val="center"/>
            <w:hideMark/>
          </w:tcPr>
          <w:p w14:paraId="53E97947"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54</w:t>
            </w:r>
          </w:p>
        </w:tc>
        <w:tc>
          <w:tcPr>
            <w:tcW w:w="2600" w:type="dxa"/>
            <w:tcBorders>
              <w:top w:val="nil"/>
              <w:left w:val="nil"/>
              <w:bottom w:val="nil"/>
              <w:right w:val="nil"/>
            </w:tcBorders>
            <w:shd w:val="clear" w:color="auto" w:fill="auto"/>
            <w:noWrap/>
            <w:vAlign w:val="center"/>
            <w:hideMark/>
          </w:tcPr>
          <w:p w14:paraId="3EDE8930"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Professional, Scientific, and Technical Services</w:t>
            </w:r>
          </w:p>
        </w:tc>
        <w:tc>
          <w:tcPr>
            <w:tcW w:w="1660" w:type="dxa"/>
            <w:tcBorders>
              <w:top w:val="nil"/>
              <w:left w:val="nil"/>
              <w:bottom w:val="nil"/>
              <w:right w:val="nil"/>
            </w:tcBorders>
            <w:shd w:val="clear" w:color="auto" w:fill="auto"/>
            <w:noWrap/>
            <w:vAlign w:val="center"/>
            <w:hideMark/>
          </w:tcPr>
          <w:p w14:paraId="7A41BB98"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18,428</w:t>
            </w:r>
          </w:p>
        </w:tc>
        <w:tc>
          <w:tcPr>
            <w:tcW w:w="1660" w:type="dxa"/>
            <w:tcBorders>
              <w:top w:val="nil"/>
              <w:left w:val="nil"/>
              <w:bottom w:val="nil"/>
              <w:right w:val="nil"/>
            </w:tcBorders>
            <w:shd w:val="clear" w:color="auto" w:fill="auto"/>
            <w:noWrap/>
            <w:vAlign w:val="center"/>
            <w:hideMark/>
          </w:tcPr>
          <w:p w14:paraId="46C6A929"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21,167</w:t>
            </w:r>
          </w:p>
        </w:tc>
        <w:tc>
          <w:tcPr>
            <w:tcW w:w="1660" w:type="dxa"/>
            <w:tcBorders>
              <w:top w:val="nil"/>
              <w:left w:val="nil"/>
              <w:bottom w:val="nil"/>
              <w:right w:val="nil"/>
            </w:tcBorders>
            <w:shd w:val="clear" w:color="auto" w:fill="auto"/>
            <w:noWrap/>
            <w:vAlign w:val="center"/>
            <w:hideMark/>
          </w:tcPr>
          <w:p w14:paraId="4E5455F2"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2,739</w:t>
            </w:r>
          </w:p>
        </w:tc>
        <w:tc>
          <w:tcPr>
            <w:tcW w:w="1660" w:type="dxa"/>
            <w:tcBorders>
              <w:top w:val="nil"/>
              <w:left w:val="nil"/>
              <w:bottom w:val="nil"/>
              <w:right w:val="nil"/>
            </w:tcBorders>
            <w:shd w:val="clear" w:color="auto" w:fill="auto"/>
            <w:noWrap/>
            <w:vAlign w:val="center"/>
            <w:hideMark/>
          </w:tcPr>
          <w:p w14:paraId="14720CC5"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15%</w:t>
            </w:r>
          </w:p>
        </w:tc>
      </w:tr>
      <w:tr w:rsidR="003F6D20" w:rsidRPr="00EE335B" w14:paraId="3B44875E" w14:textId="77777777" w:rsidTr="001C65FC">
        <w:trPr>
          <w:trHeight w:val="288"/>
          <w:jc w:val="center"/>
        </w:trPr>
        <w:tc>
          <w:tcPr>
            <w:tcW w:w="720" w:type="dxa"/>
            <w:tcBorders>
              <w:top w:val="nil"/>
              <w:left w:val="nil"/>
              <w:bottom w:val="nil"/>
              <w:right w:val="nil"/>
            </w:tcBorders>
            <w:shd w:val="clear" w:color="auto" w:fill="DAEEF3" w:themeFill="accent5" w:themeFillTint="33"/>
            <w:noWrap/>
            <w:vAlign w:val="center"/>
            <w:hideMark/>
          </w:tcPr>
          <w:p w14:paraId="70D868F6"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72</w:t>
            </w:r>
          </w:p>
        </w:tc>
        <w:tc>
          <w:tcPr>
            <w:tcW w:w="2600" w:type="dxa"/>
            <w:tcBorders>
              <w:top w:val="nil"/>
              <w:left w:val="nil"/>
              <w:bottom w:val="nil"/>
              <w:right w:val="nil"/>
            </w:tcBorders>
            <w:shd w:val="clear" w:color="auto" w:fill="DAEEF3" w:themeFill="accent5" w:themeFillTint="33"/>
            <w:noWrap/>
            <w:vAlign w:val="center"/>
            <w:hideMark/>
          </w:tcPr>
          <w:p w14:paraId="393F934A"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Accommodation and Food Services</w:t>
            </w:r>
          </w:p>
        </w:tc>
        <w:tc>
          <w:tcPr>
            <w:tcW w:w="1660" w:type="dxa"/>
            <w:tcBorders>
              <w:top w:val="nil"/>
              <w:left w:val="nil"/>
              <w:bottom w:val="nil"/>
              <w:right w:val="nil"/>
            </w:tcBorders>
            <w:shd w:val="clear" w:color="auto" w:fill="DAEEF3" w:themeFill="accent5" w:themeFillTint="33"/>
            <w:noWrap/>
            <w:vAlign w:val="center"/>
            <w:hideMark/>
          </w:tcPr>
          <w:p w14:paraId="57024357"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16,884</w:t>
            </w:r>
          </w:p>
        </w:tc>
        <w:tc>
          <w:tcPr>
            <w:tcW w:w="1660" w:type="dxa"/>
            <w:tcBorders>
              <w:top w:val="nil"/>
              <w:left w:val="nil"/>
              <w:bottom w:val="nil"/>
              <w:right w:val="nil"/>
            </w:tcBorders>
            <w:shd w:val="clear" w:color="auto" w:fill="DAEEF3" w:themeFill="accent5" w:themeFillTint="33"/>
            <w:noWrap/>
            <w:vAlign w:val="center"/>
            <w:hideMark/>
          </w:tcPr>
          <w:p w14:paraId="0CDE490F"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19,044</w:t>
            </w:r>
          </w:p>
        </w:tc>
        <w:tc>
          <w:tcPr>
            <w:tcW w:w="1660" w:type="dxa"/>
            <w:tcBorders>
              <w:top w:val="nil"/>
              <w:left w:val="nil"/>
              <w:bottom w:val="nil"/>
              <w:right w:val="nil"/>
            </w:tcBorders>
            <w:shd w:val="clear" w:color="auto" w:fill="DAEEF3" w:themeFill="accent5" w:themeFillTint="33"/>
            <w:noWrap/>
            <w:vAlign w:val="center"/>
            <w:hideMark/>
          </w:tcPr>
          <w:p w14:paraId="46A57FDE"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2,160</w:t>
            </w:r>
          </w:p>
        </w:tc>
        <w:tc>
          <w:tcPr>
            <w:tcW w:w="1660" w:type="dxa"/>
            <w:tcBorders>
              <w:top w:val="nil"/>
              <w:left w:val="nil"/>
              <w:bottom w:val="nil"/>
              <w:right w:val="nil"/>
            </w:tcBorders>
            <w:shd w:val="clear" w:color="auto" w:fill="DAEEF3" w:themeFill="accent5" w:themeFillTint="33"/>
            <w:noWrap/>
            <w:vAlign w:val="center"/>
            <w:hideMark/>
          </w:tcPr>
          <w:p w14:paraId="5627430F"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13%</w:t>
            </w:r>
          </w:p>
        </w:tc>
      </w:tr>
      <w:tr w:rsidR="003F6D20" w:rsidRPr="00EE335B" w14:paraId="1156AFB0" w14:textId="77777777" w:rsidTr="001C65FC">
        <w:trPr>
          <w:trHeight w:val="288"/>
          <w:jc w:val="center"/>
        </w:trPr>
        <w:tc>
          <w:tcPr>
            <w:tcW w:w="720" w:type="dxa"/>
            <w:tcBorders>
              <w:top w:val="nil"/>
              <w:left w:val="nil"/>
              <w:bottom w:val="nil"/>
              <w:right w:val="nil"/>
            </w:tcBorders>
            <w:shd w:val="clear" w:color="auto" w:fill="auto"/>
            <w:noWrap/>
            <w:vAlign w:val="center"/>
            <w:hideMark/>
          </w:tcPr>
          <w:p w14:paraId="4F09F0B9"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62</w:t>
            </w:r>
          </w:p>
        </w:tc>
        <w:tc>
          <w:tcPr>
            <w:tcW w:w="2600" w:type="dxa"/>
            <w:tcBorders>
              <w:top w:val="nil"/>
              <w:left w:val="nil"/>
              <w:bottom w:val="nil"/>
              <w:right w:val="nil"/>
            </w:tcBorders>
            <w:shd w:val="clear" w:color="auto" w:fill="auto"/>
            <w:noWrap/>
            <w:vAlign w:val="center"/>
            <w:hideMark/>
          </w:tcPr>
          <w:p w14:paraId="4B64BF4D"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Health Care and Social Assistance</w:t>
            </w:r>
          </w:p>
        </w:tc>
        <w:tc>
          <w:tcPr>
            <w:tcW w:w="1660" w:type="dxa"/>
            <w:tcBorders>
              <w:top w:val="nil"/>
              <w:left w:val="nil"/>
              <w:bottom w:val="nil"/>
              <w:right w:val="nil"/>
            </w:tcBorders>
            <w:shd w:val="clear" w:color="auto" w:fill="auto"/>
            <w:noWrap/>
            <w:vAlign w:val="center"/>
            <w:hideMark/>
          </w:tcPr>
          <w:p w14:paraId="730BBB7F"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15,354</w:t>
            </w:r>
          </w:p>
        </w:tc>
        <w:tc>
          <w:tcPr>
            <w:tcW w:w="1660" w:type="dxa"/>
            <w:tcBorders>
              <w:top w:val="nil"/>
              <w:left w:val="nil"/>
              <w:bottom w:val="nil"/>
              <w:right w:val="nil"/>
            </w:tcBorders>
            <w:shd w:val="clear" w:color="auto" w:fill="auto"/>
            <w:noWrap/>
            <w:vAlign w:val="center"/>
            <w:hideMark/>
          </w:tcPr>
          <w:p w14:paraId="2424DEC4"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17,855</w:t>
            </w:r>
          </w:p>
        </w:tc>
        <w:tc>
          <w:tcPr>
            <w:tcW w:w="1660" w:type="dxa"/>
            <w:tcBorders>
              <w:top w:val="nil"/>
              <w:left w:val="nil"/>
              <w:bottom w:val="nil"/>
              <w:right w:val="nil"/>
            </w:tcBorders>
            <w:shd w:val="clear" w:color="auto" w:fill="auto"/>
            <w:noWrap/>
            <w:vAlign w:val="center"/>
            <w:hideMark/>
          </w:tcPr>
          <w:p w14:paraId="3582C0C6"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2,501</w:t>
            </w:r>
          </w:p>
        </w:tc>
        <w:tc>
          <w:tcPr>
            <w:tcW w:w="1660" w:type="dxa"/>
            <w:tcBorders>
              <w:top w:val="nil"/>
              <w:left w:val="nil"/>
              <w:bottom w:val="nil"/>
              <w:right w:val="nil"/>
            </w:tcBorders>
            <w:shd w:val="clear" w:color="auto" w:fill="auto"/>
            <w:noWrap/>
            <w:vAlign w:val="center"/>
            <w:hideMark/>
          </w:tcPr>
          <w:p w14:paraId="742A2EEA"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16%</w:t>
            </w:r>
          </w:p>
        </w:tc>
      </w:tr>
      <w:tr w:rsidR="003F6D20" w:rsidRPr="00EE335B" w14:paraId="3BAF256A" w14:textId="77777777" w:rsidTr="001C65FC">
        <w:trPr>
          <w:trHeight w:val="288"/>
          <w:jc w:val="center"/>
        </w:trPr>
        <w:tc>
          <w:tcPr>
            <w:tcW w:w="720" w:type="dxa"/>
            <w:tcBorders>
              <w:top w:val="nil"/>
              <w:left w:val="nil"/>
              <w:bottom w:val="nil"/>
              <w:right w:val="nil"/>
            </w:tcBorders>
            <w:shd w:val="clear" w:color="auto" w:fill="DAEEF3" w:themeFill="accent5" w:themeFillTint="33"/>
            <w:noWrap/>
            <w:vAlign w:val="center"/>
            <w:hideMark/>
          </w:tcPr>
          <w:p w14:paraId="459E9CF9"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51</w:t>
            </w:r>
          </w:p>
        </w:tc>
        <w:tc>
          <w:tcPr>
            <w:tcW w:w="2600" w:type="dxa"/>
            <w:tcBorders>
              <w:top w:val="nil"/>
              <w:left w:val="nil"/>
              <w:bottom w:val="nil"/>
              <w:right w:val="nil"/>
            </w:tcBorders>
            <w:shd w:val="clear" w:color="auto" w:fill="DAEEF3" w:themeFill="accent5" w:themeFillTint="33"/>
            <w:noWrap/>
            <w:vAlign w:val="center"/>
            <w:hideMark/>
          </w:tcPr>
          <w:p w14:paraId="70F8D279"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Information</w:t>
            </w:r>
          </w:p>
        </w:tc>
        <w:tc>
          <w:tcPr>
            <w:tcW w:w="1660" w:type="dxa"/>
            <w:tcBorders>
              <w:top w:val="nil"/>
              <w:left w:val="nil"/>
              <w:bottom w:val="nil"/>
              <w:right w:val="nil"/>
            </w:tcBorders>
            <w:shd w:val="clear" w:color="auto" w:fill="DAEEF3" w:themeFill="accent5" w:themeFillTint="33"/>
            <w:noWrap/>
            <w:vAlign w:val="center"/>
            <w:hideMark/>
          </w:tcPr>
          <w:p w14:paraId="14AF59E1"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12,272</w:t>
            </w:r>
          </w:p>
        </w:tc>
        <w:tc>
          <w:tcPr>
            <w:tcW w:w="1660" w:type="dxa"/>
            <w:tcBorders>
              <w:top w:val="nil"/>
              <w:left w:val="nil"/>
              <w:bottom w:val="nil"/>
              <w:right w:val="nil"/>
            </w:tcBorders>
            <w:shd w:val="clear" w:color="auto" w:fill="DAEEF3" w:themeFill="accent5" w:themeFillTint="33"/>
            <w:noWrap/>
            <w:vAlign w:val="center"/>
            <w:hideMark/>
          </w:tcPr>
          <w:p w14:paraId="2617D233"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12,621</w:t>
            </w:r>
          </w:p>
        </w:tc>
        <w:tc>
          <w:tcPr>
            <w:tcW w:w="1660" w:type="dxa"/>
            <w:tcBorders>
              <w:top w:val="nil"/>
              <w:left w:val="nil"/>
              <w:bottom w:val="nil"/>
              <w:right w:val="nil"/>
            </w:tcBorders>
            <w:shd w:val="clear" w:color="auto" w:fill="DAEEF3" w:themeFill="accent5" w:themeFillTint="33"/>
            <w:noWrap/>
            <w:vAlign w:val="center"/>
            <w:hideMark/>
          </w:tcPr>
          <w:p w14:paraId="7AE7B09C"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349</w:t>
            </w:r>
          </w:p>
        </w:tc>
        <w:tc>
          <w:tcPr>
            <w:tcW w:w="1660" w:type="dxa"/>
            <w:tcBorders>
              <w:top w:val="nil"/>
              <w:left w:val="nil"/>
              <w:bottom w:val="nil"/>
              <w:right w:val="nil"/>
            </w:tcBorders>
            <w:shd w:val="clear" w:color="auto" w:fill="DAEEF3" w:themeFill="accent5" w:themeFillTint="33"/>
            <w:noWrap/>
            <w:vAlign w:val="center"/>
            <w:hideMark/>
          </w:tcPr>
          <w:p w14:paraId="256F58D2"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3%</w:t>
            </w:r>
          </w:p>
        </w:tc>
      </w:tr>
      <w:tr w:rsidR="003F6D20" w:rsidRPr="00EE335B" w14:paraId="0B491534" w14:textId="77777777" w:rsidTr="001C65FC">
        <w:trPr>
          <w:trHeight w:val="288"/>
          <w:jc w:val="center"/>
        </w:trPr>
        <w:tc>
          <w:tcPr>
            <w:tcW w:w="720" w:type="dxa"/>
            <w:tcBorders>
              <w:top w:val="nil"/>
              <w:left w:val="nil"/>
              <w:bottom w:val="nil"/>
              <w:right w:val="nil"/>
            </w:tcBorders>
            <w:shd w:val="clear" w:color="auto" w:fill="auto"/>
            <w:noWrap/>
            <w:vAlign w:val="center"/>
            <w:hideMark/>
          </w:tcPr>
          <w:p w14:paraId="493B2508"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44</w:t>
            </w:r>
          </w:p>
        </w:tc>
        <w:tc>
          <w:tcPr>
            <w:tcW w:w="2600" w:type="dxa"/>
            <w:tcBorders>
              <w:top w:val="nil"/>
              <w:left w:val="nil"/>
              <w:bottom w:val="nil"/>
              <w:right w:val="nil"/>
            </w:tcBorders>
            <w:shd w:val="clear" w:color="auto" w:fill="auto"/>
            <w:noWrap/>
            <w:vAlign w:val="center"/>
            <w:hideMark/>
          </w:tcPr>
          <w:p w14:paraId="7D086F5B"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Retail Trade</w:t>
            </w:r>
          </w:p>
        </w:tc>
        <w:tc>
          <w:tcPr>
            <w:tcW w:w="1660" w:type="dxa"/>
            <w:tcBorders>
              <w:top w:val="nil"/>
              <w:left w:val="nil"/>
              <w:bottom w:val="nil"/>
              <w:right w:val="nil"/>
            </w:tcBorders>
            <w:shd w:val="clear" w:color="auto" w:fill="auto"/>
            <w:noWrap/>
            <w:vAlign w:val="center"/>
            <w:hideMark/>
          </w:tcPr>
          <w:p w14:paraId="47A4F2E4"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11,741</w:t>
            </w:r>
          </w:p>
        </w:tc>
        <w:tc>
          <w:tcPr>
            <w:tcW w:w="1660" w:type="dxa"/>
            <w:tcBorders>
              <w:top w:val="nil"/>
              <w:left w:val="nil"/>
              <w:bottom w:val="nil"/>
              <w:right w:val="nil"/>
            </w:tcBorders>
            <w:shd w:val="clear" w:color="auto" w:fill="auto"/>
            <w:noWrap/>
            <w:vAlign w:val="center"/>
            <w:hideMark/>
          </w:tcPr>
          <w:p w14:paraId="1E06DFFC"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12,659</w:t>
            </w:r>
          </w:p>
        </w:tc>
        <w:tc>
          <w:tcPr>
            <w:tcW w:w="1660" w:type="dxa"/>
            <w:tcBorders>
              <w:top w:val="nil"/>
              <w:left w:val="nil"/>
              <w:bottom w:val="nil"/>
              <w:right w:val="nil"/>
            </w:tcBorders>
            <w:shd w:val="clear" w:color="auto" w:fill="auto"/>
            <w:noWrap/>
            <w:vAlign w:val="center"/>
            <w:hideMark/>
          </w:tcPr>
          <w:p w14:paraId="08CB8125"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918</w:t>
            </w:r>
          </w:p>
        </w:tc>
        <w:tc>
          <w:tcPr>
            <w:tcW w:w="1660" w:type="dxa"/>
            <w:tcBorders>
              <w:top w:val="nil"/>
              <w:left w:val="nil"/>
              <w:bottom w:val="nil"/>
              <w:right w:val="nil"/>
            </w:tcBorders>
            <w:shd w:val="clear" w:color="auto" w:fill="auto"/>
            <w:noWrap/>
            <w:vAlign w:val="center"/>
            <w:hideMark/>
          </w:tcPr>
          <w:p w14:paraId="02261D92"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8%</w:t>
            </w:r>
          </w:p>
        </w:tc>
      </w:tr>
      <w:tr w:rsidR="003F6D20" w:rsidRPr="00EE335B" w14:paraId="009B61EA" w14:textId="77777777" w:rsidTr="001C65FC">
        <w:trPr>
          <w:trHeight w:val="288"/>
          <w:jc w:val="center"/>
        </w:trPr>
        <w:tc>
          <w:tcPr>
            <w:tcW w:w="720" w:type="dxa"/>
            <w:tcBorders>
              <w:top w:val="nil"/>
              <w:left w:val="nil"/>
              <w:bottom w:val="nil"/>
              <w:right w:val="nil"/>
            </w:tcBorders>
            <w:shd w:val="clear" w:color="auto" w:fill="DAEEF3" w:themeFill="accent5" w:themeFillTint="33"/>
            <w:noWrap/>
            <w:vAlign w:val="center"/>
            <w:hideMark/>
          </w:tcPr>
          <w:p w14:paraId="0DBF10FC"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90</w:t>
            </w:r>
          </w:p>
        </w:tc>
        <w:tc>
          <w:tcPr>
            <w:tcW w:w="2600" w:type="dxa"/>
            <w:tcBorders>
              <w:top w:val="nil"/>
              <w:left w:val="nil"/>
              <w:bottom w:val="nil"/>
              <w:right w:val="nil"/>
            </w:tcBorders>
            <w:shd w:val="clear" w:color="auto" w:fill="DAEEF3" w:themeFill="accent5" w:themeFillTint="33"/>
            <w:noWrap/>
            <w:vAlign w:val="center"/>
            <w:hideMark/>
          </w:tcPr>
          <w:p w14:paraId="75FB5AA4"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Government</w:t>
            </w:r>
          </w:p>
        </w:tc>
        <w:tc>
          <w:tcPr>
            <w:tcW w:w="1660" w:type="dxa"/>
            <w:tcBorders>
              <w:top w:val="nil"/>
              <w:left w:val="nil"/>
              <w:bottom w:val="nil"/>
              <w:right w:val="nil"/>
            </w:tcBorders>
            <w:shd w:val="clear" w:color="auto" w:fill="DAEEF3" w:themeFill="accent5" w:themeFillTint="33"/>
            <w:noWrap/>
            <w:vAlign w:val="center"/>
            <w:hideMark/>
          </w:tcPr>
          <w:p w14:paraId="46D144FE"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9,603</w:t>
            </w:r>
          </w:p>
        </w:tc>
        <w:tc>
          <w:tcPr>
            <w:tcW w:w="1660" w:type="dxa"/>
            <w:tcBorders>
              <w:top w:val="nil"/>
              <w:left w:val="nil"/>
              <w:bottom w:val="nil"/>
              <w:right w:val="nil"/>
            </w:tcBorders>
            <w:shd w:val="clear" w:color="auto" w:fill="DAEEF3" w:themeFill="accent5" w:themeFillTint="33"/>
            <w:noWrap/>
            <w:vAlign w:val="center"/>
            <w:hideMark/>
          </w:tcPr>
          <w:p w14:paraId="6550ACCC"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9,762</w:t>
            </w:r>
          </w:p>
        </w:tc>
        <w:tc>
          <w:tcPr>
            <w:tcW w:w="1660" w:type="dxa"/>
            <w:tcBorders>
              <w:top w:val="nil"/>
              <w:left w:val="nil"/>
              <w:bottom w:val="nil"/>
              <w:right w:val="nil"/>
            </w:tcBorders>
            <w:shd w:val="clear" w:color="auto" w:fill="DAEEF3" w:themeFill="accent5" w:themeFillTint="33"/>
            <w:noWrap/>
            <w:vAlign w:val="center"/>
            <w:hideMark/>
          </w:tcPr>
          <w:p w14:paraId="6301F6DB"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159</w:t>
            </w:r>
          </w:p>
        </w:tc>
        <w:tc>
          <w:tcPr>
            <w:tcW w:w="1660" w:type="dxa"/>
            <w:tcBorders>
              <w:top w:val="nil"/>
              <w:left w:val="nil"/>
              <w:bottom w:val="nil"/>
              <w:right w:val="nil"/>
            </w:tcBorders>
            <w:shd w:val="clear" w:color="auto" w:fill="DAEEF3" w:themeFill="accent5" w:themeFillTint="33"/>
            <w:noWrap/>
            <w:vAlign w:val="center"/>
            <w:hideMark/>
          </w:tcPr>
          <w:p w14:paraId="5D682D36"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2%</w:t>
            </w:r>
          </w:p>
        </w:tc>
      </w:tr>
      <w:tr w:rsidR="003F6D20" w:rsidRPr="00EE335B" w14:paraId="06728865" w14:textId="77777777" w:rsidTr="001C65FC">
        <w:trPr>
          <w:trHeight w:val="288"/>
          <w:jc w:val="center"/>
        </w:trPr>
        <w:tc>
          <w:tcPr>
            <w:tcW w:w="720" w:type="dxa"/>
            <w:tcBorders>
              <w:top w:val="nil"/>
              <w:left w:val="nil"/>
              <w:bottom w:val="nil"/>
              <w:right w:val="nil"/>
            </w:tcBorders>
            <w:shd w:val="clear" w:color="auto" w:fill="auto"/>
            <w:noWrap/>
            <w:vAlign w:val="center"/>
            <w:hideMark/>
          </w:tcPr>
          <w:p w14:paraId="6407F3B2"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81</w:t>
            </w:r>
          </w:p>
        </w:tc>
        <w:tc>
          <w:tcPr>
            <w:tcW w:w="2600" w:type="dxa"/>
            <w:tcBorders>
              <w:top w:val="nil"/>
              <w:left w:val="nil"/>
              <w:bottom w:val="nil"/>
              <w:right w:val="nil"/>
            </w:tcBorders>
            <w:shd w:val="clear" w:color="auto" w:fill="auto"/>
            <w:noWrap/>
            <w:vAlign w:val="center"/>
            <w:hideMark/>
          </w:tcPr>
          <w:p w14:paraId="201CDB85"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Other Services (except Public Administration)</w:t>
            </w:r>
          </w:p>
        </w:tc>
        <w:tc>
          <w:tcPr>
            <w:tcW w:w="1660" w:type="dxa"/>
            <w:tcBorders>
              <w:top w:val="nil"/>
              <w:left w:val="nil"/>
              <w:bottom w:val="nil"/>
              <w:right w:val="nil"/>
            </w:tcBorders>
            <w:shd w:val="clear" w:color="auto" w:fill="auto"/>
            <w:noWrap/>
            <w:vAlign w:val="center"/>
            <w:hideMark/>
          </w:tcPr>
          <w:p w14:paraId="0E1E32D2"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7,964</w:t>
            </w:r>
          </w:p>
        </w:tc>
        <w:tc>
          <w:tcPr>
            <w:tcW w:w="1660" w:type="dxa"/>
            <w:tcBorders>
              <w:top w:val="nil"/>
              <w:left w:val="nil"/>
              <w:bottom w:val="nil"/>
              <w:right w:val="nil"/>
            </w:tcBorders>
            <w:shd w:val="clear" w:color="auto" w:fill="auto"/>
            <w:noWrap/>
            <w:vAlign w:val="center"/>
            <w:hideMark/>
          </w:tcPr>
          <w:p w14:paraId="379049ED"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8,538</w:t>
            </w:r>
          </w:p>
        </w:tc>
        <w:tc>
          <w:tcPr>
            <w:tcW w:w="1660" w:type="dxa"/>
            <w:tcBorders>
              <w:top w:val="nil"/>
              <w:left w:val="nil"/>
              <w:bottom w:val="nil"/>
              <w:right w:val="nil"/>
            </w:tcBorders>
            <w:shd w:val="clear" w:color="auto" w:fill="auto"/>
            <w:noWrap/>
            <w:vAlign w:val="center"/>
            <w:hideMark/>
          </w:tcPr>
          <w:p w14:paraId="3570E64F"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574</w:t>
            </w:r>
          </w:p>
        </w:tc>
        <w:tc>
          <w:tcPr>
            <w:tcW w:w="1660" w:type="dxa"/>
            <w:tcBorders>
              <w:top w:val="nil"/>
              <w:left w:val="nil"/>
              <w:bottom w:val="nil"/>
              <w:right w:val="nil"/>
            </w:tcBorders>
            <w:shd w:val="clear" w:color="auto" w:fill="auto"/>
            <w:noWrap/>
            <w:vAlign w:val="center"/>
            <w:hideMark/>
          </w:tcPr>
          <w:p w14:paraId="47403D0A"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7%</w:t>
            </w:r>
          </w:p>
        </w:tc>
      </w:tr>
      <w:tr w:rsidR="003F6D20" w:rsidRPr="00EE335B" w14:paraId="7EEE9541" w14:textId="77777777" w:rsidTr="001C65FC">
        <w:trPr>
          <w:trHeight w:val="288"/>
          <w:jc w:val="center"/>
        </w:trPr>
        <w:tc>
          <w:tcPr>
            <w:tcW w:w="720" w:type="dxa"/>
            <w:tcBorders>
              <w:top w:val="nil"/>
              <w:left w:val="nil"/>
              <w:bottom w:val="nil"/>
              <w:right w:val="nil"/>
            </w:tcBorders>
            <w:shd w:val="clear" w:color="auto" w:fill="DAEEF3" w:themeFill="accent5" w:themeFillTint="33"/>
            <w:noWrap/>
            <w:vAlign w:val="center"/>
            <w:hideMark/>
          </w:tcPr>
          <w:p w14:paraId="72E74369"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61</w:t>
            </w:r>
          </w:p>
        </w:tc>
        <w:tc>
          <w:tcPr>
            <w:tcW w:w="2600" w:type="dxa"/>
            <w:tcBorders>
              <w:top w:val="nil"/>
              <w:left w:val="nil"/>
              <w:bottom w:val="nil"/>
              <w:right w:val="nil"/>
            </w:tcBorders>
            <w:shd w:val="clear" w:color="auto" w:fill="DAEEF3" w:themeFill="accent5" w:themeFillTint="33"/>
            <w:noWrap/>
            <w:vAlign w:val="center"/>
            <w:hideMark/>
          </w:tcPr>
          <w:p w14:paraId="2D12003E"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Educational Services</w:t>
            </w:r>
          </w:p>
        </w:tc>
        <w:tc>
          <w:tcPr>
            <w:tcW w:w="1660" w:type="dxa"/>
            <w:tcBorders>
              <w:top w:val="nil"/>
              <w:left w:val="nil"/>
              <w:bottom w:val="nil"/>
              <w:right w:val="nil"/>
            </w:tcBorders>
            <w:shd w:val="clear" w:color="auto" w:fill="DAEEF3" w:themeFill="accent5" w:themeFillTint="33"/>
            <w:noWrap/>
            <w:vAlign w:val="center"/>
            <w:hideMark/>
          </w:tcPr>
          <w:p w14:paraId="26A00FFC"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7,034</w:t>
            </w:r>
          </w:p>
        </w:tc>
        <w:tc>
          <w:tcPr>
            <w:tcW w:w="1660" w:type="dxa"/>
            <w:tcBorders>
              <w:top w:val="nil"/>
              <w:left w:val="nil"/>
              <w:bottom w:val="nil"/>
              <w:right w:val="nil"/>
            </w:tcBorders>
            <w:shd w:val="clear" w:color="auto" w:fill="DAEEF3" w:themeFill="accent5" w:themeFillTint="33"/>
            <w:noWrap/>
            <w:vAlign w:val="center"/>
            <w:hideMark/>
          </w:tcPr>
          <w:p w14:paraId="6591F8A2"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8,229</w:t>
            </w:r>
          </w:p>
        </w:tc>
        <w:tc>
          <w:tcPr>
            <w:tcW w:w="1660" w:type="dxa"/>
            <w:tcBorders>
              <w:top w:val="nil"/>
              <w:left w:val="nil"/>
              <w:bottom w:val="nil"/>
              <w:right w:val="nil"/>
            </w:tcBorders>
            <w:shd w:val="clear" w:color="auto" w:fill="DAEEF3" w:themeFill="accent5" w:themeFillTint="33"/>
            <w:noWrap/>
            <w:vAlign w:val="center"/>
            <w:hideMark/>
          </w:tcPr>
          <w:p w14:paraId="2BFC40A2"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1,195</w:t>
            </w:r>
          </w:p>
        </w:tc>
        <w:tc>
          <w:tcPr>
            <w:tcW w:w="1660" w:type="dxa"/>
            <w:tcBorders>
              <w:top w:val="nil"/>
              <w:left w:val="nil"/>
              <w:bottom w:val="nil"/>
              <w:right w:val="nil"/>
            </w:tcBorders>
            <w:shd w:val="clear" w:color="auto" w:fill="DAEEF3" w:themeFill="accent5" w:themeFillTint="33"/>
            <w:noWrap/>
            <w:vAlign w:val="center"/>
            <w:hideMark/>
          </w:tcPr>
          <w:p w14:paraId="07486245"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17%</w:t>
            </w:r>
          </w:p>
        </w:tc>
      </w:tr>
      <w:tr w:rsidR="003F6D20" w:rsidRPr="00EE335B" w14:paraId="31194B4F" w14:textId="77777777" w:rsidTr="001C65FC">
        <w:trPr>
          <w:trHeight w:val="288"/>
          <w:jc w:val="center"/>
        </w:trPr>
        <w:tc>
          <w:tcPr>
            <w:tcW w:w="720" w:type="dxa"/>
            <w:tcBorders>
              <w:top w:val="nil"/>
              <w:left w:val="nil"/>
              <w:bottom w:val="nil"/>
              <w:right w:val="nil"/>
            </w:tcBorders>
            <w:shd w:val="clear" w:color="auto" w:fill="auto"/>
            <w:noWrap/>
            <w:vAlign w:val="center"/>
            <w:hideMark/>
          </w:tcPr>
          <w:p w14:paraId="21E0D48D"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71</w:t>
            </w:r>
          </w:p>
        </w:tc>
        <w:tc>
          <w:tcPr>
            <w:tcW w:w="2600" w:type="dxa"/>
            <w:tcBorders>
              <w:top w:val="nil"/>
              <w:left w:val="nil"/>
              <w:bottom w:val="nil"/>
              <w:right w:val="nil"/>
            </w:tcBorders>
            <w:shd w:val="clear" w:color="auto" w:fill="auto"/>
            <w:noWrap/>
            <w:vAlign w:val="center"/>
            <w:hideMark/>
          </w:tcPr>
          <w:p w14:paraId="4946FB77"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Arts, Entertainment, and Recreation</w:t>
            </w:r>
          </w:p>
        </w:tc>
        <w:tc>
          <w:tcPr>
            <w:tcW w:w="1660" w:type="dxa"/>
            <w:tcBorders>
              <w:top w:val="nil"/>
              <w:left w:val="nil"/>
              <w:bottom w:val="nil"/>
              <w:right w:val="nil"/>
            </w:tcBorders>
            <w:shd w:val="clear" w:color="auto" w:fill="auto"/>
            <w:noWrap/>
            <w:vAlign w:val="center"/>
            <w:hideMark/>
          </w:tcPr>
          <w:p w14:paraId="4329E0B1"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5,042</w:t>
            </w:r>
          </w:p>
        </w:tc>
        <w:tc>
          <w:tcPr>
            <w:tcW w:w="1660" w:type="dxa"/>
            <w:tcBorders>
              <w:top w:val="nil"/>
              <w:left w:val="nil"/>
              <w:bottom w:val="nil"/>
              <w:right w:val="nil"/>
            </w:tcBorders>
            <w:shd w:val="clear" w:color="auto" w:fill="auto"/>
            <w:noWrap/>
            <w:vAlign w:val="center"/>
            <w:hideMark/>
          </w:tcPr>
          <w:p w14:paraId="389DC5AF"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5,424</w:t>
            </w:r>
          </w:p>
        </w:tc>
        <w:tc>
          <w:tcPr>
            <w:tcW w:w="1660" w:type="dxa"/>
            <w:tcBorders>
              <w:top w:val="nil"/>
              <w:left w:val="nil"/>
              <w:bottom w:val="nil"/>
              <w:right w:val="nil"/>
            </w:tcBorders>
            <w:shd w:val="clear" w:color="auto" w:fill="auto"/>
            <w:noWrap/>
            <w:vAlign w:val="center"/>
            <w:hideMark/>
          </w:tcPr>
          <w:p w14:paraId="17B5AD2F"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382</w:t>
            </w:r>
          </w:p>
        </w:tc>
        <w:tc>
          <w:tcPr>
            <w:tcW w:w="1660" w:type="dxa"/>
            <w:tcBorders>
              <w:top w:val="nil"/>
              <w:left w:val="nil"/>
              <w:bottom w:val="nil"/>
              <w:right w:val="nil"/>
            </w:tcBorders>
            <w:shd w:val="clear" w:color="auto" w:fill="auto"/>
            <w:noWrap/>
            <w:vAlign w:val="center"/>
            <w:hideMark/>
          </w:tcPr>
          <w:p w14:paraId="2FC1990D"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8%</w:t>
            </w:r>
          </w:p>
        </w:tc>
      </w:tr>
      <w:tr w:rsidR="003F6D20" w:rsidRPr="00EE335B" w14:paraId="557DD3D6" w14:textId="77777777" w:rsidTr="001C65FC">
        <w:trPr>
          <w:trHeight w:val="288"/>
          <w:jc w:val="center"/>
        </w:trPr>
        <w:tc>
          <w:tcPr>
            <w:tcW w:w="720" w:type="dxa"/>
            <w:tcBorders>
              <w:top w:val="nil"/>
              <w:left w:val="nil"/>
              <w:bottom w:val="nil"/>
              <w:right w:val="nil"/>
            </w:tcBorders>
            <w:shd w:val="clear" w:color="auto" w:fill="DAEEF3" w:themeFill="accent5" w:themeFillTint="33"/>
            <w:noWrap/>
            <w:vAlign w:val="center"/>
            <w:hideMark/>
          </w:tcPr>
          <w:p w14:paraId="326AE965"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56</w:t>
            </w:r>
          </w:p>
        </w:tc>
        <w:tc>
          <w:tcPr>
            <w:tcW w:w="2600" w:type="dxa"/>
            <w:tcBorders>
              <w:top w:val="nil"/>
              <w:left w:val="nil"/>
              <w:bottom w:val="nil"/>
              <w:right w:val="nil"/>
            </w:tcBorders>
            <w:shd w:val="clear" w:color="auto" w:fill="DAEEF3" w:themeFill="accent5" w:themeFillTint="33"/>
            <w:noWrap/>
            <w:vAlign w:val="center"/>
            <w:hideMark/>
          </w:tcPr>
          <w:p w14:paraId="4A889D69"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Administrative and Support and Waste Management and Remediation Services</w:t>
            </w:r>
          </w:p>
        </w:tc>
        <w:tc>
          <w:tcPr>
            <w:tcW w:w="1660" w:type="dxa"/>
            <w:tcBorders>
              <w:top w:val="nil"/>
              <w:left w:val="nil"/>
              <w:bottom w:val="nil"/>
              <w:right w:val="nil"/>
            </w:tcBorders>
            <w:shd w:val="clear" w:color="auto" w:fill="DAEEF3" w:themeFill="accent5" w:themeFillTint="33"/>
            <w:noWrap/>
            <w:vAlign w:val="center"/>
            <w:hideMark/>
          </w:tcPr>
          <w:p w14:paraId="760B9730"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4,430</w:t>
            </w:r>
          </w:p>
        </w:tc>
        <w:tc>
          <w:tcPr>
            <w:tcW w:w="1660" w:type="dxa"/>
            <w:tcBorders>
              <w:top w:val="nil"/>
              <w:left w:val="nil"/>
              <w:bottom w:val="nil"/>
              <w:right w:val="nil"/>
            </w:tcBorders>
            <w:shd w:val="clear" w:color="auto" w:fill="DAEEF3" w:themeFill="accent5" w:themeFillTint="33"/>
            <w:noWrap/>
            <w:vAlign w:val="center"/>
            <w:hideMark/>
          </w:tcPr>
          <w:p w14:paraId="35B408AB"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4,796</w:t>
            </w:r>
          </w:p>
        </w:tc>
        <w:tc>
          <w:tcPr>
            <w:tcW w:w="1660" w:type="dxa"/>
            <w:tcBorders>
              <w:top w:val="nil"/>
              <w:left w:val="nil"/>
              <w:bottom w:val="nil"/>
              <w:right w:val="nil"/>
            </w:tcBorders>
            <w:shd w:val="clear" w:color="auto" w:fill="DAEEF3" w:themeFill="accent5" w:themeFillTint="33"/>
            <w:noWrap/>
            <w:vAlign w:val="center"/>
            <w:hideMark/>
          </w:tcPr>
          <w:p w14:paraId="56BD6841"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366</w:t>
            </w:r>
          </w:p>
        </w:tc>
        <w:tc>
          <w:tcPr>
            <w:tcW w:w="1660" w:type="dxa"/>
            <w:tcBorders>
              <w:top w:val="nil"/>
              <w:left w:val="nil"/>
              <w:bottom w:val="nil"/>
              <w:right w:val="nil"/>
            </w:tcBorders>
            <w:shd w:val="clear" w:color="auto" w:fill="DAEEF3" w:themeFill="accent5" w:themeFillTint="33"/>
            <w:noWrap/>
            <w:vAlign w:val="center"/>
            <w:hideMark/>
          </w:tcPr>
          <w:p w14:paraId="3B55612D"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8%</w:t>
            </w:r>
          </w:p>
        </w:tc>
      </w:tr>
      <w:tr w:rsidR="003F6D20" w:rsidRPr="00EE335B" w14:paraId="32F251CE" w14:textId="77777777" w:rsidTr="001C65FC">
        <w:trPr>
          <w:trHeight w:val="288"/>
          <w:jc w:val="center"/>
        </w:trPr>
        <w:tc>
          <w:tcPr>
            <w:tcW w:w="720" w:type="dxa"/>
            <w:tcBorders>
              <w:top w:val="nil"/>
              <w:left w:val="nil"/>
              <w:bottom w:val="nil"/>
              <w:right w:val="nil"/>
            </w:tcBorders>
            <w:shd w:val="clear" w:color="auto" w:fill="auto"/>
            <w:noWrap/>
            <w:vAlign w:val="center"/>
            <w:hideMark/>
          </w:tcPr>
          <w:p w14:paraId="5734A670"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53</w:t>
            </w:r>
          </w:p>
        </w:tc>
        <w:tc>
          <w:tcPr>
            <w:tcW w:w="2600" w:type="dxa"/>
            <w:tcBorders>
              <w:top w:val="nil"/>
              <w:left w:val="nil"/>
              <w:bottom w:val="nil"/>
              <w:right w:val="nil"/>
            </w:tcBorders>
            <w:shd w:val="clear" w:color="auto" w:fill="auto"/>
            <w:noWrap/>
            <w:vAlign w:val="center"/>
            <w:hideMark/>
          </w:tcPr>
          <w:p w14:paraId="19E1ED88"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Real Estate and Rental and Leasing</w:t>
            </w:r>
          </w:p>
        </w:tc>
        <w:tc>
          <w:tcPr>
            <w:tcW w:w="1660" w:type="dxa"/>
            <w:tcBorders>
              <w:top w:val="nil"/>
              <w:left w:val="nil"/>
              <w:bottom w:val="nil"/>
              <w:right w:val="nil"/>
            </w:tcBorders>
            <w:shd w:val="clear" w:color="auto" w:fill="auto"/>
            <w:noWrap/>
            <w:vAlign w:val="center"/>
            <w:hideMark/>
          </w:tcPr>
          <w:p w14:paraId="0B6241E4"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4,028</w:t>
            </w:r>
          </w:p>
        </w:tc>
        <w:tc>
          <w:tcPr>
            <w:tcW w:w="1660" w:type="dxa"/>
            <w:tcBorders>
              <w:top w:val="nil"/>
              <w:left w:val="nil"/>
              <w:bottom w:val="nil"/>
              <w:right w:val="nil"/>
            </w:tcBorders>
            <w:shd w:val="clear" w:color="auto" w:fill="auto"/>
            <w:noWrap/>
            <w:vAlign w:val="center"/>
            <w:hideMark/>
          </w:tcPr>
          <w:p w14:paraId="5386863E"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4,193</w:t>
            </w:r>
          </w:p>
        </w:tc>
        <w:tc>
          <w:tcPr>
            <w:tcW w:w="1660" w:type="dxa"/>
            <w:tcBorders>
              <w:top w:val="nil"/>
              <w:left w:val="nil"/>
              <w:bottom w:val="nil"/>
              <w:right w:val="nil"/>
            </w:tcBorders>
            <w:shd w:val="clear" w:color="auto" w:fill="auto"/>
            <w:noWrap/>
            <w:vAlign w:val="center"/>
            <w:hideMark/>
          </w:tcPr>
          <w:p w14:paraId="6AD8DE20"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165</w:t>
            </w:r>
          </w:p>
        </w:tc>
        <w:tc>
          <w:tcPr>
            <w:tcW w:w="1660" w:type="dxa"/>
            <w:tcBorders>
              <w:top w:val="nil"/>
              <w:left w:val="nil"/>
              <w:bottom w:val="nil"/>
              <w:right w:val="nil"/>
            </w:tcBorders>
            <w:shd w:val="clear" w:color="auto" w:fill="auto"/>
            <w:noWrap/>
            <w:vAlign w:val="center"/>
            <w:hideMark/>
          </w:tcPr>
          <w:p w14:paraId="1CCE5728"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4%</w:t>
            </w:r>
          </w:p>
        </w:tc>
      </w:tr>
      <w:tr w:rsidR="003F6D20" w:rsidRPr="00EE335B" w14:paraId="647F57B9" w14:textId="77777777" w:rsidTr="001C65FC">
        <w:trPr>
          <w:trHeight w:val="288"/>
          <w:jc w:val="center"/>
        </w:trPr>
        <w:tc>
          <w:tcPr>
            <w:tcW w:w="720" w:type="dxa"/>
            <w:tcBorders>
              <w:top w:val="nil"/>
              <w:left w:val="nil"/>
              <w:bottom w:val="nil"/>
              <w:right w:val="nil"/>
            </w:tcBorders>
            <w:shd w:val="clear" w:color="auto" w:fill="DAEEF3" w:themeFill="accent5" w:themeFillTint="33"/>
            <w:noWrap/>
            <w:vAlign w:val="center"/>
            <w:hideMark/>
          </w:tcPr>
          <w:p w14:paraId="15390F20"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52</w:t>
            </w:r>
          </w:p>
        </w:tc>
        <w:tc>
          <w:tcPr>
            <w:tcW w:w="2600" w:type="dxa"/>
            <w:tcBorders>
              <w:top w:val="nil"/>
              <w:left w:val="nil"/>
              <w:bottom w:val="nil"/>
              <w:right w:val="nil"/>
            </w:tcBorders>
            <w:shd w:val="clear" w:color="auto" w:fill="DAEEF3" w:themeFill="accent5" w:themeFillTint="33"/>
            <w:noWrap/>
            <w:vAlign w:val="center"/>
            <w:hideMark/>
          </w:tcPr>
          <w:p w14:paraId="4905F672"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Finance and Insurance</w:t>
            </w:r>
          </w:p>
        </w:tc>
        <w:tc>
          <w:tcPr>
            <w:tcW w:w="1660" w:type="dxa"/>
            <w:tcBorders>
              <w:top w:val="nil"/>
              <w:left w:val="nil"/>
              <w:bottom w:val="nil"/>
              <w:right w:val="nil"/>
            </w:tcBorders>
            <w:shd w:val="clear" w:color="auto" w:fill="DAEEF3" w:themeFill="accent5" w:themeFillTint="33"/>
            <w:noWrap/>
            <w:vAlign w:val="center"/>
            <w:hideMark/>
          </w:tcPr>
          <w:p w14:paraId="04CC599F"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3,855</w:t>
            </w:r>
          </w:p>
        </w:tc>
        <w:tc>
          <w:tcPr>
            <w:tcW w:w="1660" w:type="dxa"/>
            <w:tcBorders>
              <w:top w:val="nil"/>
              <w:left w:val="nil"/>
              <w:bottom w:val="nil"/>
              <w:right w:val="nil"/>
            </w:tcBorders>
            <w:shd w:val="clear" w:color="auto" w:fill="DAEEF3" w:themeFill="accent5" w:themeFillTint="33"/>
            <w:noWrap/>
            <w:vAlign w:val="center"/>
            <w:hideMark/>
          </w:tcPr>
          <w:p w14:paraId="2E96D2F3"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3,776</w:t>
            </w:r>
          </w:p>
        </w:tc>
        <w:tc>
          <w:tcPr>
            <w:tcW w:w="1660" w:type="dxa"/>
            <w:tcBorders>
              <w:top w:val="nil"/>
              <w:left w:val="nil"/>
              <w:bottom w:val="nil"/>
              <w:right w:val="nil"/>
            </w:tcBorders>
            <w:shd w:val="clear" w:color="auto" w:fill="DAEEF3" w:themeFill="accent5" w:themeFillTint="33"/>
            <w:noWrap/>
            <w:vAlign w:val="center"/>
            <w:hideMark/>
          </w:tcPr>
          <w:p w14:paraId="6B2771DE"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color w:val="FF0000"/>
                <w:sz w:val="14"/>
                <w:szCs w:val="14"/>
              </w:rPr>
              <w:t>(79)</w:t>
            </w:r>
          </w:p>
        </w:tc>
        <w:tc>
          <w:tcPr>
            <w:tcW w:w="1660" w:type="dxa"/>
            <w:tcBorders>
              <w:top w:val="nil"/>
              <w:left w:val="nil"/>
              <w:bottom w:val="nil"/>
              <w:right w:val="nil"/>
            </w:tcBorders>
            <w:shd w:val="clear" w:color="auto" w:fill="DAEEF3" w:themeFill="accent5" w:themeFillTint="33"/>
            <w:noWrap/>
            <w:vAlign w:val="center"/>
            <w:hideMark/>
          </w:tcPr>
          <w:p w14:paraId="63483753"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color w:val="FF0000"/>
                <w:sz w:val="14"/>
                <w:szCs w:val="14"/>
              </w:rPr>
              <w:t>(2%)</w:t>
            </w:r>
          </w:p>
        </w:tc>
      </w:tr>
      <w:tr w:rsidR="003F6D20" w:rsidRPr="00EE335B" w14:paraId="58FA1717" w14:textId="77777777" w:rsidTr="001C65FC">
        <w:trPr>
          <w:trHeight w:val="288"/>
          <w:jc w:val="center"/>
        </w:trPr>
        <w:tc>
          <w:tcPr>
            <w:tcW w:w="720" w:type="dxa"/>
            <w:tcBorders>
              <w:top w:val="nil"/>
              <w:left w:val="nil"/>
              <w:bottom w:val="nil"/>
              <w:right w:val="nil"/>
            </w:tcBorders>
            <w:shd w:val="clear" w:color="auto" w:fill="auto"/>
            <w:noWrap/>
            <w:vAlign w:val="center"/>
            <w:hideMark/>
          </w:tcPr>
          <w:p w14:paraId="0455359E"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23</w:t>
            </w:r>
          </w:p>
        </w:tc>
        <w:tc>
          <w:tcPr>
            <w:tcW w:w="2600" w:type="dxa"/>
            <w:tcBorders>
              <w:top w:val="nil"/>
              <w:left w:val="nil"/>
              <w:bottom w:val="nil"/>
              <w:right w:val="nil"/>
            </w:tcBorders>
            <w:shd w:val="clear" w:color="auto" w:fill="auto"/>
            <w:noWrap/>
            <w:vAlign w:val="center"/>
            <w:hideMark/>
          </w:tcPr>
          <w:p w14:paraId="53F6A6F8"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Construction</w:t>
            </w:r>
          </w:p>
        </w:tc>
        <w:tc>
          <w:tcPr>
            <w:tcW w:w="1660" w:type="dxa"/>
            <w:tcBorders>
              <w:top w:val="nil"/>
              <w:left w:val="nil"/>
              <w:bottom w:val="nil"/>
              <w:right w:val="nil"/>
            </w:tcBorders>
            <w:shd w:val="clear" w:color="auto" w:fill="auto"/>
            <w:noWrap/>
            <w:vAlign w:val="center"/>
            <w:hideMark/>
          </w:tcPr>
          <w:p w14:paraId="38705741"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3,089</w:t>
            </w:r>
          </w:p>
        </w:tc>
        <w:tc>
          <w:tcPr>
            <w:tcW w:w="1660" w:type="dxa"/>
            <w:tcBorders>
              <w:top w:val="nil"/>
              <w:left w:val="nil"/>
              <w:bottom w:val="nil"/>
              <w:right w:val="nil"/>
            </w:tcBorders>
            <w:shd w:val="clear" w:color="auto" w:fill="auto"/>
            <w:noWrap/>
            <w:vAlign w:val="center"/>
            <w:hideMark/>
          </w:tcPr>
          <w:p w14:paraId="48D02650"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3,276</w:t>
            </w:r>
          </w:p>
        </w:tc>
        <w:tc>
          <w:tcPr>
            <w:tcW w:w="1660" w:type="dxa"/>
            <w:tcBorders>
              <w:top w:val="nil"/>
              <w:left w:val="nil"/>
              <w:bottom w:val="nil"/>
              <w:right w:val="nil"/>
            </w:tcBorders>
            <w:shd w:val="clear" w:color="auto" w:fill="auto"/>
            <w:noWrap/>
            <w:vAlign w:val="center"/>
            <w:hideMark/>
          </w:tcPr>
          <w:p w14:paraId="745AB2C3"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187</w:t>
            </w:r>
          </w:p>
        </w:tc>
        <w:tc>
          <w:tcPr>
            <w:tcW w:w="1660" w:type="dxa"/>
            <w:tcBorders>
              <w:top w:val="nil"/>
              <w:left w:val="nil"/>
              <w:bottom w:val="nil"/>
              <w:right w:val="nil"/>
            </w:tcBorders>
            <w:shd w:val="clear" w:color="auto" w:fill="auto"/>
            <w:noWrap/>
            <w:vAlign w:val="center"/>
            <w:hideMark/>
          </w:tcPr>
          <w:p w14:paraId="5688CBAA"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6%</w:t>
            </w:r>
          </w:p>
        </w:tc>
      </w:tr>
      <w:tr w:rsidR="003F6D20" w:rsidRPr="00EE335B" w14:paraId="375D7258" w14:textId="77777777" w:rsidTr="001C65FC">
        <w:trPr>
          <w:trHeight w:val="288"/>
          <w:jc w:val="center"/>
        </w:trPr>
        <w:tc>
          <w:tcPr>
            <w:tcW w:w="720" w:type="dxa"/>
            <w:tcBorders>
              <w:top w:val="nil"/>
              <w:left w:val="nil"/>
              <w:bottom w:val="nil"/>
              <w:right w:val="nil"/>
            </w:tcBorders>
            <w:shd w:val="clear" w:color="auto" w:fill="DAEEF3" w:themeFill="accent5" w:themeFillTint="33"/>
            <w:noWrap/>
            <w:vAlign w:val="center"/>
            <w:hideMark/>
          </w:tcPr>
          <w:p w14:paraId="0D54C17F"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55</w:t>
            </w:r>
          </w:p>
        </w:tc>
        <w:tc>
          <w:tcPr>
            <w:tcW w:w="2600" w:type="dxa"/>
            <w:tcBorders>
              <w:top w:val="nil"/>
              <w:left w:val="nil"/>
              <w:bottom w:val="nil"/>
              <w:right w:val="nil"/>
            </w:tcBorders>
            <w:shd w:val="clear" w:color="auto" w:fill="DAEEF3" w:themeFill="accent5" w:themeFillTint="33"/>
            <w:noWrap/>
            <w:vAlign w:val="center"/>
            <w:hideMark/>
          </w:tcPr>
          <w:p w14:paraId="078FED72"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Management of Companies and Enterprises</w:t>
            </w:r>
          </w:p>
        </w:tc>
        <w:tc>
          <w:tcPr>
            <w:tcW w:w="1660" w:type="dxa"/>
            <w:tcBorders>
              <w:top w:val="nil"/>
              <w:left w:val="nil"/>
              <w:bottom w:val="nil"/>
              <w:right w:val="nil"/>
            </w:tcBorders>
            <w:shd w:val="clear" w:color="auto" w:fill="DAEEF3" w:themeFill="accent5" w:themeFillTint="33"/>
            <w:noWrap/>
            <w:vAlign w:val="center"/>
            <w:hideMark/>
          </w:tcPr>
          <w:p w14:paraId="3794ECC1"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2,436</w:t>
            </w:r>
          </w:p>
        </w:tc>
        <w:tc>
          <w:tcPr>
            <w:tcW w:w="1660" w:type="dxa"/>
            <w:tcBorders>
              <w:top w:val="nil"/>
              <w:left w:val="nil"/>
              <w:bottom w:val="nil"/>
              <w:right w:val="nil"/>
            </w:tcBorders>
            <w:shd w:val="clear" w:color="auto" w:fill="DAEEF3" w:themeFill="accent5" w:themeFillTint="33"/>
            <w:noWrap/>
            <w:vAlign w:val="center"/>
            <w:hideMark/>
          </w:tcPr>
          <w:p w14:paraId="674B86BF"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2,300</w:t>
            </w:r>
          </w:p>
        </w:tc>
        <w:tc>
          <w:tcPr>
            <w:tcW w:w="1660" w:type="dxa"/>
            <w:tcBorders>
              <w:top w:val="nil"/>
              <w:left w:val="nil"/>
              <w:bottom w:val="nil"/>
              <w:right w:val="nil"/>
            </w:tcBorders>
            <w:shd w:val="clear" w:color="auto" w:fill="DAEEF3" w:themeFill="accent5" w:themeFillTint="33"/>
            <w:noWrap/>
            <w:vAlign w:val="center"/>
            <w:hideMark/>
          </w:tcPr>
          <w:p w14:paraId="577D3709"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color w:val="FF0000"/>
                <w:sz w:val="14"/>
                <w:szCs w:val="14"/>
              </w:rPr>
              <w:t>(136)</w:t>
            </w:r>
          </w:p>
        </w:tc>
        <w:tc>
          <w:tcPr>
            <w:tcW w:w="1660" w:type="dxa"/>
            <w:tcBorders>
              <w:top w:val="nil"/>
              <w:left w:val="nil"/>
              <w:bottom w:val="nil"/>
              <w:right w:val="nil"/>
            </w:tcBorders>
            <w:shd w:val="clear" w:color="auto" w:fill="DAEEF3" w:themeFill="accent5" w:themeFillTint="33"/>
            <w:noWrap/>
            <w:vAlign w:val="center"/>
            <w:hideMark/>
          </w:tcPr>
          <w:p w14:paraId="79B53274"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color w:val="FF0000"/>
                <w:sz w:val="14"/>
                <w:szCs w:val="14"/>
              </w:rPr>
              <w:t>(6%)</w:t>
            </w:r>
          </w:p>
        </w:tc>
      </w:tr>
      <w:tr w:rsidR="003F6D20" w:rsidRPr="00EE335B" w14:paraId="48AF5441" w14:textId="77777777" w:rsidTr="001C65FC">
        <w:trPr>
          <w:trHeight w:val="288"/>
          <w:jc w:val="center"/>
        </w:trPr>
        <w:tc>
          <w:tcPr>
            <w:tcW w:w="720" w:type="dxa"/>
            <w:tcBorders>
              <w:top w:val="nil"/>
              <w:left w:val="nil"/>
              <w:bottom w:val="nil"/>
              <w:right w:val="nil"/>
            </w:tcBorders>
            <w:shd w:val="clear" w:color="auto" w:fill="auto"/>
            <w:noWrap/>
            <w:vAlign w:val="center"/>
            <w:hideMark/>
          </w:tcPr>
          <w:p w14:paraId="16F86A85"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42</w:t>
            </w:r>
          </w:p>
        </w:tc>
        <w:tc>
          <w:tcPr>
            <w:tcW w:w="2600" w:type="dxa"/>
            <w:tcBorders>
              <w:top w:val="nil"/>
              <w:left w:val="nil"/>
              <w:bottom w:val="nil"/>
              <w:right w:val="nil"/>
            </w:tcBorders>
            <w:shd w:val="clear" w:color="auto" w:fill="auto"/>
            <w:noWrap/>
            <w:vAlign w:val="center"/>
            <w:hideMark/>
          </w:tcPr>
          <w:p w14:paraId="531B2DE8"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Wholesale Trade</w:t>
            </w:r>
          </w:p>
        </w:tc>
        <w:tc>
          <w:tcPr>
            <w:tcW w:w="1660" w:type="dxa"/>
            <w:tcBorders>
              <w:top w:val="nil"/>
              <w:left w:val="nil"/>
              <w:bottom w:val="nil"/>
              <w:right w:val="nil"/>
            </w:tcBorders>
            <w:shd w:val="clear" w:color="auto" w:fill="auto"/>
            <w:noWrap/>
            <w:vAlign w:val="center"/>
            <w:hideMark/>
          </w:tcPr>
          <w:p w14:paraId="54BD02F5"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1,586</w:t>
            </w:r>
          </w:p>
        </w:tc>
        <w:tc>
          <w:tcPr>
            <w:tcW w:w="1660" w:type="dxa"/>
            <w:tcBorders>
              <w:top w:val="nil"/>
              <w:left w:val="nil"/>
              <w:bottom w:val="nil"/>
              <w:right w:val="nil"/>
            </w:tcBorders>
            <w:shd w:val="clear" w:color="auto" w:fill="auto"/>
            <w:noWrap/>
            <w:vAlign w:val="center"/>
            <w:hideMark/>
          </w:tcPr>
          <w:p w14:paraId="72275D7F"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1,731</w:t>
            </w:r>
          </w:p>
        </w:tc>
        <w:tc>
          <w:tcPr>
            <w:tcW w:w="1660" w:type="dxa"/>
            <w:tcBorders>
              <w:top w:val="nil"/>
              <w:left w:val="nil"/>
              <w:bottom w:val="nil"/>
              <w:right w:val="nil"/>
            </w:tcBorders>
            <w:shd w:val="clear" w:color="auto" w:fill="auto"/>
            <w:noWrap/>
            <w:vAlign w:val="center"/>
            <w:hideMark/>
          </w:tcPr>
          <w:p w14:paraId="6B3AD1F0"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145</w:t>
            </w:r>
          </w:p>
        </w:tc>
        <w:tc>
          <w:tcPr>
            <w:tcW w:w="1660" w:type="dxa"/>
            <w:tcBorders>
              <w:top w:val="nil"/>
              <w:left w:val="nil"/>
              <w:bottom w:val="nil"/>
              <w:right w:val="nil"/>
            </w:tcBorders>
            <w:shd w:val="clear" w:color="auto" w:fill="auto"/>
            <w:noWrap/>
            <w:vAlign w:val="center"/>
            <w:hideMark/>
          </w:tcPr>
          <w:p w14:paraId="4A94C751"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9%</w:t>
            </w:r>
          </w:p>
        </w:tc>
      </w:tr>
      <w:tr w:rsidR="003F6D20" w:rsidRPr="00EE335B" w14:paraId="5ADCA2FA" w14:textId="77777777" w:rsidTr="001C65FC">
        <w:trPr>
          <w:trHeight w:val="288"/>
          <w:jc w:val="center"/>
        </w:trPr>
        <w:tc>
          <w:tcPr>
            <w:tcW w:w="720" w:type="dxa"/>
            <w:tcBorders>
              <w:top w:val="nil"/>
              <w:left w:val="nil"/>
              <w:bottom w:val="nil"/>
              <w:right w:val="nil"/>
            </w:tcBorders>
            <w:shd w:val="clear" w:color="auto" w:fill="DAEEF3" w:themeFill="accent5" w:themeFillTint="33"/>
            <w:noWrap/>
            <w:vAlign w:val="center"/>
            <w:hideMark/>
          </w:tcPr>
          <w:p w14:paraId="094015B0"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31</w:t>
            </w:r>
          </w:p>
        </w:tc>
        <w:tc>
          <w:tcPr>
            <w:tcW w:w="2600" w:type="dxa"/>
            <w:tcBorders>
              <w:top w:val="nil"/>
              <w:left w:val="nil"/>
              <w:bottom w:val="nil"/>
              <w:right w:val="nil"/>
            </w:tcBorders>
            <w:shd w:val="clear" w:color="auto" w:fill="DAEEF3" w:themeFill="accent5" w:themeFillTint="33"/>
            <w:noWrap/>
            <w:vAlign w:val="center"/>
            <w:hideMark/>
          </w:tcPr>
          <w:p w14:paraId="7A8CACC4"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Manufacturing</w:t>
            </w:r>
          </w:p>
        </w:tc>
        <w:tc>
          <w:tcPr>
            <w:tcW w:w="1660" w:type="dxa"/>
            <w:tcBorders>
              <w:top w:val="nil"/>
              <w:left w:val="nil"/>
              <w:bottom w:val="nil"/>
              <w:right w:val="nil"/>
            </w:tcBorders>
            <w:shd w:val="clear" w:color="auto" w:fill="DAEEF3" w:themeFill="accent5" w:themeFillTint="33"/>
            <w:noWrap/>
            <w:vAlign w:val="center"/>
            <w:hideMark/>
          </w:tcPr>
          <w:p w14:paraId="01CCE560"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1,190</w:t>
            </w:r>
          </w:p>
        </w:tc>
        <w:tc>
          <w:tcPr>
            <w:tcW w:w="1660" w:type="dxa"/>
            <w:tcBorders>
              <w:top w:val="nil"/>
              <w:left w:val="nil"/>
              <w:bottom w:val="nil"/>
              <w:right w:val="nil"/>
            </w:tcBorders>
            <w:shd w:val="clear" w:color="auto" w:fill="DAEEF3" w:themeFill="accent5" w:themeFillTint="33"/>
            <w:noWrap/>
            <w:vAlign w:val="center"/>
            <w:hideMark/>
          </w:tcPr>
          <w:p w14:paraId="2C884541"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1,028</w:t>
            </w:r>
          </w:p>
        </w:tc>
        <w:tc>
          <w:tcPr>
            <w:tcW w:w="1660" w:type="dxa"/>
            <w:tcBorders>
              <w:top w:val="nil"/>
              <w:left w:val="nil"/>
              <w:bottom w:val="nil"/>
              <w:right w:val="nil"/>
            </w:tcBorders>
            <w:shd w:val="clear" w:color="auto" w:fill="DAEEF3" w:themeFill="accent5" w:themeFillTint="33"/>
            <w:noWrap/>
            <w:vAlign w:val="center"/>
            <w:hideMark/>
          </w:tcPr>
          <w:p w14:paraId="02D59CFF"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color w:val="FF0000"/>
                <w:sz w:val="14"/>
                <w:szCs w:val="14"/>
              </w:rPr>
              <w:t>(162)</w:t>
            </w:r>
          </w:p>
        </w:tc>
        <w:tc>
          <w:tcPr>
            <w:tcW w:w="1660" w:type="dxa"/>
            <w:tcBorders>
              <w:top w:val="nil"/>
              <w:left w:val="nil"/>
              <w:bottom w:val="nil"/>
              <w:right w:val="nil"/>
            </w:tcBorders>
            <w:shd w:val="clear" w:color="auto" w:fill="DAEEF3" w:themeFill="accent5" w:themeFillTint="33"/>
            <w:noWrap/>
            <w:vAlign w:val="center"/>
            <w:hideMark/>
          </w:tcPr>
          <w:p w14:paraId="57F4869A"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color w:val="FF0000"/>
                <w:sz w:val="14"/>
                <w:szCs w:val="14"/>
              </w:rPr>
              <w:t>(14%)</w:t>
            </w:r>
          </w:p>
        </w:tc>
      </w:tr>
      <w:tr w:rsidR="003F6D20" w:rsidRPr="00EE335B" w14:paraId="375F43EF" w14:textId="77777777" w:rsidTr="001C65FC">
        <w:trPr>
          <w:trHeight w:val="288"/>
          <w:jc w:val="center"/>
        </w:trPr>
        <w:tc>
          <w:tcPr>
            <w:tcW w:w="720" w:type="dxa"/>
            <w:tcBorders>
              <w:top w:val="nil"/>
              <w:left w:val="nil"/>
              <w:bottom w:val="nil"/>
              <w:right w:val="nil"/>
            </w:tcBorders>
            <w:shd w:val="clear" w:color="auto" w:fill="auto"/>
            <w:noWrap/>
            <w:vAlign w:val="center"/>
            <w:hideMark/>
          </w:tcPr>
          <w:p w14:paraId="5D654A47"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48</w:t>
            </w:r>
          </w:p>
        </w:tc>
        <w:tc>
          <w:tcPr>
            <w:tcW w:w="2600" w:type="dxa"/>
            <w:tcBorders>
              <w:top w:val="nil"/>
              <w:left w:val="nil"/>
              <w:bottom w:val="nil"/>
              <w:right w:val="nil"/>
            </w:tcBorders>
            <w:shd w:val="clear" w:color="auto" w:fill="auto"/>
            <w:noWrap/>
            <w:vAlign w:val="center"/>
            <w:hideMark/>
          </w:tcPr>
          <w:p w14:paraId="11DF707E"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Transportation and Warehousing</w:t>
            </w:r>
          </w:p>
        </w:tc>
        <w:tc>
          <w:tcPr>
            <w:tcW w:w="1660" w:type="dxa"/>
            <w:tcBorders>
              <w:top w:val="nil"/>
              <w:left w:val="nil"/>
              <w:bottom w:val="nil"/>
              <w:right w:val="nil"/>
            </w:tcBorders>
            <w:shd w:val="clear" w:color="auto" w:fill="auto"/>
            <w:noWrap/>
            <w:vAlign w:val="center"/>
            <w:hideMark/>
          </w:tcPr>
          <w:p w14:paraId="43EB5E6D"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728</w:t>
            </w:r>
          </w:p>
        </w:tc>
        <w:tc>
          <w:tcPr>
            <w:tcW w:w="1660" w:type="dxa"/>
            <w:tcBorders>
              <w:top w:val="nil"/>
              <w:left w:val="nil"/>
              <w:bottom w:val="nil"/>
              <w:right w:val="nil"/>
            </w:tcBorders>
            <w:shd w:val="clear" w:color="auto" w:fill="auto"/>
            <w:noWrap/>
            <w:vAlign w:val="center"/>
            <w:hideMark/>
          </w:tcPr>
          <w:p w14:paraId="37924E78"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803</w:t>
            </w:r>
          </w:p>
        </w:tc>
        <w:tc>
          <w:tcPr>
            <w:tcW w:w="1660" w:type="dxa"/>
            <w:tcBorders>
              <w:top w:val="nil"/>
              <w:left w:val="nil"/>
              <w:bottom w:val="nil"/>
              <w:right w:val="nil"/>
            </w:tcBorders>
            <w:shd w:val="clear" w:color="auto" w:fill="auto"/>
            <w:noWrap/>
            <w:vAlign w:val="center"/>
            <w:hideMark/>
          </w:tcPr>
          <w:p w14:paraId="02D92764"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75</w:t>
            </w:r>
          </w:p>
        </w:tc>
        <w:tc>
          <w:tcPr>
            <w:tcW w:w="1660" w:type="dxa"/>
            <w:tcBorders>
              <w:top w:val="nil"/>
              <w:left w:val="nil"/>
              <w:bottom w:val="nil"/>
              <w:right w:val="nil"/>
            </w:tcBorders>
            <w:shd w:val="clear" w:color="auto" w:fill="auto"/>
            <w:noWrap/>
            <w:vAlign w:val="center"/>
            <w:hideMark/>
          </w:tcPr>
          <w:p w14:paraId="5FC8D9FA"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10%</w:t>
            </w:r>
          </w:p>
        </w:tc>
      </w:tr>
      <w:tr w:rsidR="003F6D20" w:rsidRPr="00EE335B" w14:paraId="38C90FD3" w14:textId="77777777" w:rsidTr="001C65FC">
        <w:trPr>
          <w:trHeight w:val="288"/>
          <w:jc w:val="center"/>
        </w:trPr>
        <w:tc>
          <w:tcPr>
            <w:tcW w:w="720" w:type="dxa"/>
            <w:tcBorders>
              <w:top w:val="nil"/>
              <w:left w:val="nil"/>
              <w:bottom w:val="nil"/>
              <w:right w:val="nil"/>
            </w:tcBorders>
            <w:shd w:val="clear" w:color="auto" w:fill="DAEEF3" w:themeFill="accent5" w:themeFillTint="33"/>
            <w:noWrap/>
            <w:vAlign w:val="center"/>
            <w:hideMark/>
          </w:tcPr>
          <w:p w14:paraId="5CBDF8D2"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99</w:t>
            </w:r>
          </w:p>
        </w:tc>
        <w:tc>
          <w:tcPr>
            <w:tcW w:w="2600" w:type="dxa"/>
            <w:tcBorders>
              <w:top w:val="nil"/>
              <w:left w:val="nil"/>
              <w:bottom w:val="nil"/>
              <w:right w:val="nil"/>
            </w:tcBorders>
            <w:shd w:val="clear" w:color="auto" w:fill="DAEEF3" w:themeFill="accent5" w:themeFillTint="33"/>
            <w:noWrap/>
            <w:vAlign w:val="center"/>
            <w:hideMark/>
          </w:tcPr>
          <w:p w14:paraId="7EFF77B0"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Unclassified Industry</w:t>
            </w:r>
          </w:p>
        </w:tc>
        <w:tc>
          <w:tcPr>
            <w:tcW w:w="1660" w:type="dxa"/>
            <w:tcBorders>
              <w:top w:val="nil"/>
              <w:left w:val="nil"/>
              <w:bottom w:val="nil"/>
              <w:right w:val="nil"/>
            </w:tcBorders>
            <w:shd w:val="clear" w:color="auto" w:fill="DAEEF3" w:themeFill="accent5" w:themeFillTint="33"/>
            <w:noWrap/>
            <w:vAlign w:val="center"/>
            <w:hideMark/>
          </w:tcPr>
          <w:p w14:paraId="299F8E41"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520</w:t>
            </w:r>
          </w:p>
        </w:tc>
        <w:tc>
          <w:tcPr>
            <w:tcW w:w="1660" w:type="dxa"/>
            <w:tcBorders>
              <w:top w:val="nil"/>
              <w:left w:val="nil"/>
              <w:bottom w:val="nil"/>
              <w:right w:val="nil"/>
            </w:tcBorders>
            <w:shd w:val="clear" w:color="auto" w:fill="DAEEF3" w:themeFill="accent5" w:themeFillTint="33"/>
            <w:noWrap/>
            <w:vAlign w:val="center"/>
            <w:hideMark/>
          </w:tcPr>
          <w:p w14:paraId="69211C11"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560</w:t>
            </w:r>
          </w:p>
        </w:tc>
        <w:tc>
          <w:tcPr>
            <w:tcW w:w="1660" w:type="dxa"/>
            <w:tcBorders>
              <w:top w:val="nil"/>
              <w:left w:val="nil"/>
              <w:bottom w:val="nil"/>
              <w:right w:val="nil"/>
            </w:tcBorders>
            <w:shd w:val="clear" w:color="auto" w:fill="DAEEF3" w:themeFill="accent5" w:themeFillTint="33"/>
            <w:noWrap/>
            <w:vAlign w:val="center"/>
            <w:hideMark/>
          </w:tcPr>
          <w:p w14:paraId="363EAAD1"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40</w:t>
            </w:r>
          </w:p>
        </w:tc>
        <w:tc>
          <w:tcPr>
            <w:tcW w:w="1660" w:type="dxa"/>
            <w:tcBorders>
              <w:top w:val="nil"/>
              <w:left w:val="nil"/>
              <w:bottom w:val="nil"/>
              <w:right w:val="nil"/>
            </w:tcBorders>
            <w:shd w:val="clear" w:color="auto" w:fill="DAEEF3" w:themeFill="accent5" w:themeFillTint="33"/>
            <w:noWrap/>
            <w:vAlign w:val="center"/>
            <w:hideMark/>
          </w:tcPr>
          <w:p w14:paraId="1D2BEA52"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8%</w:t>
            </w:r>
          </w:p>
        </w:tc>
      </w:tr>
      <w:tr w:rsidR="003F6D20" w:rsidRPr="00EE335B" w14:paraId="5BBE41DC" w14:textId="77777777" w:rsidTr="001C65FC">
        <w:trPr>
          <w:trHeight w:val="288"/>
          <w:jc w:val="center"/>
        </w:trPr>
        <w:tc>
          <w:tcPr>
            <w:tcW w:w="720" w:type="dxa"/>
            <w:tcBorders>
              <w:top w:val="nil"/>
              <w:left w:val="nil"/>
              <w:bottom w:val="nil"/>
              <w:right w:val="nil"/>
            </w:tcBorders>
            <w:shd w:val="clear" w:color="auto" w:fill="auto"/>
            <w:noWrap/>
            <w:vAlign w:val="center"/>
            <w:hideMark/>
          </w:tcPr>
          <w:p w14:paraId="1470E8CC"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22</w:t>
            </w:r>
          </w:p>
        </w:tc>
        <w:tc>
          <w:tcPr>
            <w:tcW w:w="2600" w:type="dxa"/>
            <w:tcBorders>
              <w:top w:val="nil"/>
              <w:left w:val="nil"/>
              <w:bottom w:val="nil"/>
              <w:right w:val="nil"/>
            </w:tcBorders>
            <w:shd w:val="clear" w:color="auto" w:fill="auto"/>
            <w:noWrap/>
            <w:vAlign w:val="center"/>
            <w:hideMark/>
          </w:tcPr>
          <w:p w14:paraId="4A9F971A"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Utilities</w:t>
            </w:r>
          </w:p>
        </w:tc>
        <w:tc>
          <w:tcPr>
            <w:tcW w:w="1660" w:type="dxa"/>
            <w:tcBorders>
              <w:top w:val="nil"/>
              <w:left w:val="nil"/>
              <w:bottom w:val="nil"/>
              <w:right w:val="nil"/>
            </w:tcBorders>
            <w:shd w:val="clear" w:color="auto" w:fill="auto"/>
            <w:noWrap/>
            <w:vAlign w:val="center"/>
            <w:hideMark/>
          </w:tcPr>
          <w:p w14:paraId="677494BD"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216</w:t>
            </w:r>
          </w:p>
        </w:tc>
        <w:tc>
          <w:tcPr>
            <w:tcW w:w="1660" w:type="dxa"/>
            <w:tcBorders>
              <w:top w:val="nil"/>
              <w:left w:val="nil"/>
              <w:bottom w:val="nil"/>
              <w:right w:val="nil"/>
            </w:tcBorders>
            <w:shd w:val="clear" w:color="auto" w:fill="auto"/>
            <w:noWrap/>
            <w:vAlign w:val="center"/>
            <w:hideMark/>
          </w:tcPr>
          <w:p w14:paraId="7E7AFDC2"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254</w:t>
            </w:r>
          </w:p>
        </w:tc>
        <w:tc>
          <w:tcPr>
            <w:tcW w:w="1660" w:type="dxa"/>
            <w:tcBorders>
              <w:top w:val="nil"/>
              <w:left w:val="nil"/>
              <w:bottom w:val="nil"/>
              <w:right w:val="nil"/>
            </w:tcBorders>
            <w:shd w:val="clear" w:color="auto" w:fill="auto"/>
            <w:noWrap/>
            <w:vAlign w:val="center"/>
            <w:hideMark/>
          </w:tcPr>
          <w:p w14:paraId="4F65F948"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38</w:t>
            </w:r>
          </w:p>
        </w:tc>
        <w:tc>
          <w:tcPr>
            <w:tcW w:w="1660" w:type="dxa"/>
            <w:tcBorders>
              <w:top w:val="nil"/>
              <w:left w:val="nil"/>
              <w:bottom w:val="nil"/>
              <w:right w:val="nil"/>
            </w:tcBorders>
            <w:shd w:val="clear" w:color="auto" w:fill="auto"/>
            <w:noWrap/>
            <w:vAlign w:val="center"/>
            <w:hideMark/>
          </w:tcPr>
          <w:p w14:paraId="16191819"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18%</w:t>
            </w:r>
          </w:p>
        </w:tc>
      </w:tr>
      <w:tr w:rsidR="003F6D20" w:rsidRPr="00EE335B" w14:paraId="4AC3B301" w14:textId="77777777" w:rsidTr="001C65FC">
        <w:trPr>
          <w:trHeight w:val="288"/>
          <w:jc w:val="center"/>
        </w:trPr>
        <w:tc>
          <w:tcPr>
            <w:tcW w:w="720" w:type="dxa"/>
            <w:tcBorders>
              <w:top w:val="nil"/>
              <w:left w:val="nil"/>
              <w:right w:val="nil"/>
            </w:tcBorders>
            <w:shd w:val="clear" w:color="auto" w:fill="DAEEF3" w:themeFill="accent5" w:themeFillTint="33"/>
            <w:noWrap/>
            <w:vAlign w:val="center"/>
            <w:hideMark/>
          </w:tcPr>
          <w:p w14:paraId="2CF17967"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11</w:t>
            </w:r>
          </w:p>
        </w:tc>
        <w:tc>
          <w:tcPr>
            <w:tcW w:w="2600" w:type="dxa"/>
            <w:tcBorders>
              <w:top w:val="nil"/>
              <w:left w:val="nil"/>
              <w:right w:val="nil"/>
            </w:tcBorders>
            <w:shd w:val="clear" w:color="auto" w:fill="DAEEF3" w:themeFill="accent5" w:themeFillTint="33"/>
            <w:noWrap/>
            <w:vAlign w:val="center"/>
            <w:hideMark/>
          </w:tcPr>
          <w:p w14:paraId="46CB2E26"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Crop and Animal Production</w:t>
            </w:r>
          </w:p>
        </w:tc>
        <w:tc>
          <w:tcPr>
            <w:tcW w:w="1660" w:type="dxa"/>
            <w:tcBorders>
              <w:top w:val="nil"/>
              <w:left w:val="nil"/>
              <w:right w:val="nil"/>
            </w:tcBorders>
            <w:shd w:val="clear" w:color="auto" w:fill="DAEEF3" w:themeFill="accent5" w:themeFillTint="33"/>
            <w:noWrap/>
            <w:vAlign w:val="center"/>
            <w:hideMark/>
          </w:tcPr>
          <w:p w14:paraId="7BB63773"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213</w:t>
            </w:r>
          </w:p>
        </w:tc>
        <w:tc>
          <w:tcPr>
            <w:tcW w:w="1660" w:type="dxa"/>
            <w:tcBorders>
              <w:top w:val="nil"/>
              <w:left w:val="nil"/>
              <w:right w:val="nil"/>
            </w:tcBorders>
            <w:shd w:val="clear" w:color="auto" w:fill="DAEEF3" w:themeFill="accent5" w:themeFillTint="33"/>
            <w:noWrap/>
            <w:vAlign w:val="center"/>
            <w:hideMark/>
          </w:tcPr>
          <w:p w14:paraId="187A3A34"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145</w:t>
            </w:r>
          </w:p>
        </w:tc>
        <w:tc>
          <w:tcPr>
            <w:tcW w:w="1660" w:type="dxa"/>
            <w:tcBorders>
              <w:top w:val="nil"/>
              <w:left w:val="nil"/>
              <w:right w:val="nil"/>
            </w:tcBorders>
            <w:shd w:val="clear" w:color="auto" w:fill="DAEEF3" w:themeFill="accent5" w:themeFillTint="33"/>
            <w:noWrap/>
            <w:vAlign w:val="center"/>
            <w:hideMark/>
          </w:tcPr>
          <w:p w14:paraId="2417A772"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color w:val="FF0000"/>
                <w:sz w:val="14"/>
                <w:szCs w:val="14"/>
              </w:rPr>
              <w:t>(68)</w:t>
            </w:r>
          </w:p>
        </w:tc>
        <w:tc>
          <w:tcPr>
            <w:tcW w:w="1660" w:type="dxa"/>
            <w:tcBorders>
              <w:top w:val="nil"/>
              <w:left w:val="nil"/>
              <w:right w:val="nil"/>
            </w:tcBorders>
            <w:shd w:val="clear" w:color="auto" w:fill="DAEEF3" w:themeFill="accent5" w:themeFillTint="33"/>
            <w:noWrap/>
            <w:vAlign w:val="center"/>
            <w:hideMark/>
          </w:tcPr>
          <w:p w14:paraId="3A7F8FFD"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color w:val="FF0000"/>
                <w:sz w:val="14"/>
                <w:szCs w:val="14"/>
              </w:rPr>
              <w:t>(32%)</w:t>
            </w:r>
          </w:p>
        </w:tc>
      </w:tr>
      <w:tr w:rsidR="003F6D20" w:rsidRPr="00EE335B" w14:paraId="5853A500" w14:textId="77777777" w:rsidTr="001C65FC">
        <w:trPr>
          <w:trHeight w:val="288"/>
          <w:jc w:val="center"/>
        </w:trPr>
        <w:tc>
          <w:tcPr>
            <w:tcW w:w="720" w:type="dxa"/>
            <w:tcBorders>
              <w:top w:val="nil"/>
              <w:left w:val="nil"/>
              <w:bottom w:val="single" w:sz="4" w:space="0" w:color="auto"/>
              <w:right w:val="nil"/>
            </w:tcBorders>
            <w:shd w:val="clear" w:color="auto" w:fill="auto"/>
            <w:noWrap/>
            <w:vAlign w:val="center"/>
            <w:hideMark/>
          </w:tcPr>
          <w:p w14:paraId="50B6FBE3"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21</w:t>
            </w:r>
          </w:p>
        </w:tc>
        <w:tc>
          <w:tcPr>
            <w:tcW w:w="2600" w:type="dxa"/>
            <w:tcBorders>
              <w:top w:val="nil"/>
              <w:left w:val="nil"/>
              <w:bottom w:val="single" w:sz="4" w:space="0" w:color="auto"/>
              <w:right w:val="nil"/>
            </w:tcBorders>
            <w:shd w:val="clear" w:color="auto" w:fill="auto"/>
            <w:noWrap/>
            <w:vAlign w:val="center"/>
            <w:hideMark/>
          </w:tcPr>
          <w:p w14:paraId="16EA1B18"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Mining, Quarrying, and Oil and Gas Extraction</w:t>
            </w:r>
          </w:p>
        </w:tc>
        <w:tc>
          <w:tcPr>
            <w:tcW w:w="1660" w:type="dxa"/>
            <w:tcBorders>
              <w:top w:val="nil"/>
              <w:left w:val="nil"/>
              <w:bottom w:val="single" w:sz="4" w:space="0" w:color="auto"/>
              <w:right w:val="nil"/>
            </w:tcBorders>
            <w:shd w:val="clear" w:color="auto" w:fill="auto"/>
            <w:noWrap/>
            <w:vAlign w:val="center"/>
            <w:hideMark/>
          </w:tcPr>
          <w:p w14:paraId="2E1E2337"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141</w:t>
            </w:r>
          </w:p>
        </w:tc>
        <w:tc>
          <w:tcPr>
            <w:tcW w:w="1660" w:type="dxa"/>
            <w:tcBorders>
              <w:top w:val="nil"/>
              <w:left w:val="nil"/>
              <w:bottom w:val="single" w:sz="4" w:space="0" w:color="auto"/>
              <w:right w:val="nil"/>
            </w:tcBorders>
            <w:shd w:val="clear" w:color="auto" w:fill="auto"/>
            <w:noWrap/>
            <w:vAlign w:val="center"/>
            <w:hideMark/>
          </w:tcPr>
          <w:p w14:paraId="5539B0FF"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160</w:t>
            </w:r>
          </w:p>
        </w:tc>
        <w:tc>
          <w:tcPr>
            <w:tcW w:w="1660" w:type="dxa"/>
            <w:tcBorders>
              <w:top w:val="nil"/>
              <w:left w:val="nil"/>
              <w:bottom w:val="single" w:sz="4" w:space="0" w:color="auto"/>
              <w:right w:val="nil"/>
            </w:tcBorders>
            <w:shd w:val="clear" w:color="auto" w:fill="auto"/>
            <w:noWrap/>
            <w:vAlign w:val="center"/>
            <w:hideMark/>
          </w:tcPr>
          <w:p w14:paraId="2148136F"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19</w:t>
            </w:r>
          </w:p>
        </w:tc>
        <w:tc>
          <w:tcPr>
            <w:tcW w:w="1660" w:type="dxa"/>
            <w:tcBorders>
              <w:top w:val="nil"/>
              <w:left w:val="nil"/>
              <w:bottom w:val="single" w:sz="4" w:space="0" w:color="auto"/>
              <w:right w:val="nil"/>
            </w:tcBorders>
            <w:shd w:val="clear" w:color="auto" w:fill="auto"/>
            <w:noWrap/>
            <w:vAlign w:val="center"/>
            <w:hideMark/>
          </w:tcPr>
          <w:p w14:paraId="651E5945"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13%</w:t>
            </w:r>
          </w:p>
        </w:tc>
      </w:tr>
      <w:tr w:rsidR="003F6D20" w:rsidRPr="00EE335B" w14:paraId="29861487" w14:textId="77777777" w:rsidTr="001C65FC">
        <w:trPr>
          <w:trHeight w:val="288"/>
          <w:jc w:val="center"/>
        </w:trPr>
        <w:tc>
          <w:tcPr>
            <w:tcW w:w="720" w:type="dxa"/>
            <w:tcBorders>
              <w:top w:val="single" w:sz="4" w:space="0" w:color="auto"/>
              <w:left w:val="nil"/>
              <w:bottom w:val="single" w:sz="4" w:space="0" w:color="auto"/>
              <w:right w:val="nil"/>
            </w:tcBorders>
            <w:shd w:val="clear" w:color="auto" w:fill="auto"/>
            <w:noWrap/>
            <w:vAlign w:val="center"/>
            <w:hideMark/>
          </w:tcPr>
          <w:p w14:paraId="1BEDD149" w14:textId="77777777" w:rsidR="003F6D20" w:rsidRPr="00EE335B" w:rsidRDefault="003F6D20" w:rsidP="003D4C4D">
            <w:pPr>
              <w:keepNext/>
              <w:jc w:val="right"/>
              <w:rPr>
                <w:rFonts w:eastAsia="Times New Roman" w:cs="Times New Roman"/>
                <w:sz w:val="14"/>
                <w:szCs w:val="14"/>
              </w:rPr>
            </w:pPr>
          </w:p>
        </w:tc>
        <w:tc>
          <w:tcPr>
            <w:tcW w:w="2600" w:type="dxa"/>
            <w:tcBorders>
              <w:top w:val="single" w:sz="4" w:space="0" w:color="auto"/>
              <w:left w:val="nil"/>
              <w:bottom w:val="single" w:sz="4" w:space="0" w:color="auto"/>
              <w:right w:val="nil"/>
            </w:tcBorders>
            <w:shd w:val="clear" w:color="auto" w:fill="auto"/>
            <w:noWrap/>
            <w:vAlign w:val="center"/>
            <w:hideMark/>
          </w:tcPr>
          <w:p w14:paraId="0D82A0A9" w14:textId="77777777" w:rsidR="003F6D20" w:rsidRPr="00EE335B" w:rsidRDefault="003F6D20" w:rsidP="003D4C4D">
            <w:pPr>
              <w:keepNext/>
              <w:rPr>
                <w:rFonts w:eastAsia="Times New Roman" w:cs="Times New Roman"/>
                <w:sz w:val="14"/>
                <w:szCs w:val="14"/>
              </w:rPr>
            </w:pPr>
            <w:r w:rsidRPr="00EE335B">
              <w:rPr>
                <w:rFonts w:eastAsia="Times New Roman" w:cs="Times New Roman"/>
                <w:sz w:val="14"/>
                <w:szCs w:val="14"/>
              </w:rPr>
              <w:t>Total</w:t>
            </w:r>
          </w:p>
        </w:tc>
        <w:tc>
          <w:tcPr>
            <w:tcW w:w="1660" w:type="dxa"/>
            <w:tcBorders>
              <w:top w:val="single" w:sz="4" w:space="0" w:color="auto"/>
              <w:left w:val="nil"/>
              <w:bottom w:val="single" w:sz="4" w:space="0" w:color="auto"/>
              <w:right w:val="nil"/>
            </w:tcBorders>
            <w:shd w:val="clear" w:color="auto" w:fill="auto"/>
            <w:noWrap/>
            <w:vAlign w:val="center"/>
            <w:hideMark/>
          </w:tcPr>
          <w:p w14:paraId="675A1D47"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126,754</w:t>
            </w:r>
          </w:p>
        </w:tc>
        <w:tc>
          <w:tcPr>
            <w:tcW w:w="1660" w:type="dxa"/>
            <w:tcBorders>
              <w:top w:val="single" w:sz="4" w:space="0" w:color="auto"/>
              <w:left w:val="nil"/>
              <w:bottom w:val="single" w:sz="4" w:space="0" w:color="auto"/>
              <w:right w:val="nil"/>
            </w:tcBorders>
            <w:shd w:val="clear" w:color="auto" w:fill="auto"/>
            <w:noWrap/>
            <w:vAlign w:val="center"/>
            <w:hideMark/>
          </w:tcPr>
          <w:p w14:paraId="07221B3E"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138,318</w:t>
            </w:r>
          </w:p>
        </w:tc>
        <w:tc>
          <w:tcPr>
            <w:tcW w:w="1660" w:type="dxa"/>
            <w:tcBorders>
              <w:top w:val="single" w:sz="4" w:space="0" w:color="auto"/>
              <w:left w:val="nil"/>
              <w:bottom w:val="single" w:sz="4" w:space="0" w:color="auto"/>
              <w:right w:val="nil"/>
            </w:tcBorders>
            <w:shd w:val="clear" w:color="auto" w:fill="auto"/>
            <w:noWrap/>
            <w:vAlign w:val="center"/>
            <w:hideMark/>
          </w:tcPr>
          <w:p w14:paraId="427BC2F5"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11,564</w:t>
            </w:r>
          </w:p>
        </w:tc>
        <w:tc>
          <w:tcPr>
            <w:tcW w:w="1660" w:type="dxa"/>
            <w:tcBorders>
              <w:top w:val="single" w:sz="4" w:space="0" w:color="auto"/>
              <w:left w:val="nil"/>
              <w:bottom w:val="single" w:sz="4" w:space="0" w:color="auto"/>
              <w:right w:val="nil"/>
            </w:tcBorders>
            <w:shd w:val="clear" w:color="auto" w:fill="auto"/>
            <w:noWrap/>
            <w:vAlign w:val="center"/>
            <w:hideMark/>
          </w:tcPr>
          <w:p w14:paraId="20F31C01" w14:textId="77777777" w:rsidR="003F6D20" w:rsidRPr="00EE335B" w:rsidRDefault="003F6D20" w:rsidP="003D4C4D">
            <w:pPr>
              <w:keepNext/>
              <w:jc w:val="center"/>
              <w:rPr>
                <w:rFonts w:eastAsia="Times New Roman" w:cs="Times New Roman"/>
                <w:sz w:val="14"/>
                <w:szCs w:val="14"/>
              </w:rPr>
            </w:pPr>
            <w:r w:rsidRPr="00EE335B">
              <w:rPr>
                <w:rFonts w:eastAsia="Times New Roman" w:cs="Times New Roman"/>
                <w:sz w:val="14"/>
                <w:szCs w:val="14"/>
              </w:rPr>
              <w:t>9%</w:t>
            </w:r>
          </w:p>
        </w:tc>
      </w:tr>
    </w:tbl>
    <w:p w14:paraId="17CE416F" w14:textId="77777777" w:rsidR="003F6D20" w:rsidRDefault="003F6D20" w:rsidP="003D4C4D">
      <w:pPr>
        <w:keepNext/>
        <w:rPr>
          <w:rFonts w:cs="Times New Roman"/>
          <w:i/>
          <w:sz w:val="14"/>
        </w:rPr>
      </w:pPr>
      <w:r w:rsidRPr="00EE335B">
        <w:rPr>
          <w:rFonts w:cs="Times New Roman"/>
          <w:i/>
          <w:sz w:val="14"/>
        </w:rPr>
        <w:t>Source: Economic Modeling Specialists Intl (EMSI) Quarterly Census of Employment and Wages (QCEW) Q1 2016 Data Report for zip codes in Santa Monica and Malibu</w:t>
      </w:r>
    </w:p>
    <w:p w14:paraId="59F5E837" w14:textId="77777777" w:rsidR="001C65FC" w:rsidRPr="00EE335B" w:rsidRDefault="001C65FC" w:rsidP="001C65FC">
      <w:pPr>
        <w:rPr>
          <w:rFonts w:cs="Times New Roman"/>
          <w:sz w:val="20"/>
        </w:rPr>
      </w:pPr>
    </w:p>
    <w:p w14:paraId="373E6884" w14:textId="77777777" w:rsidR="003F6D20" w:rsidRPr="00EE335B" w:rsidRDefault="003F6D20" w:rsidP="003D4C4D">
      <w:pPr>
        <w:pStyle w:val="Heading4"/>
      </w:pPr>
      <w:r w:rsidRPr="00EE335B">
        <w:t>Top Occupations</w:t>
      </w:r>
    </w:p>
    <w:p w14:paraId="5820C903" w14:textId="628C8425" w:rsidR="003F6D20" w:rsidRPr="00EE335B" w:rsidRDefault="003F6D20" w:rsidP="00B71792">
      <w:pPr>
        <w:pStyle w:val="Normalwithspacebetween"/>
        <w:rPr>
          <w:rFonts w:cs="Times New Roman"/>
        </w:rPr>
      </w:pPr>
      <w:r w:rsidRPr="00EE335B">
        <w:t xml:space="preserve">The table below describes the top ten occupations employed in the district area in 2015. The top occupations in the district area according to employment is retail salespersons (4,225 jobs </w:t>
      </w:r>
      <w:r w:rsidRPr="00EE335B">
        <w:lastRenderedPageBreak/>
        <w:t xml:space="preserve">in 2015), followed by waiters and waitresses (3,991), and office clerks (3,208). The table below describes the top ten occupations employed in the district area in 2015.  </w:t>
      </w:r>
    </w:p>
    <w:p w14:paraId="7CCC63E9" w14:textId="77777777" w:rsidR="003F6D20" w:rsidRPr="00EE335B" w:rsidRDefault="003F6D20" w:rsidP="003F6D20">
      <w:pPr>
        <w:jc w:val="center"/>
        <w:rPr>
          <w:rFonts w:cs="Times New Roman"/>
          <w:sz w:val="20"/>
        </w:rPr>
      </w:pPr>
      <w:r w:rsidRPr="00EE335B">
        <w:rPr>
          <w:rFonts w:cs="Times New Roman"/>
          <w:sz w:val="20"/>
        </w:rPr>
        <w:t xml:space="preserve"> 2015 Top Ten Occupations in District Area</w:t>
      </w:r>
    </w:p>
    <w:tbl>
      <w:tblPr>
        <w:tblW w:w="9240" w:type="dxa"/>
        <w:jc w:val="center"/>
        <w:tblLook w:val="04A0" w:firstRow="1" w:lastRow="0" w:firstColumn="1" w:lastColumn="0" w:noHBand="0" w:noVBand="1"/>
      </w:tblPr>
      <w:tblGrid>
        <w:gridCol w:w="2600"/>
        <w:gridCol w:w="1660"/>
        <w:gridCol w:w="1660"/>
        <w:gridCol w:w="1660"/>
        <w:gridCol w:w="1660"/>
      </w:tblGrid>
      <w:tr w:rsidR="003F6D20" w:rsidRPr="00EE335B" w14:paraId="07B43C4D" w14:textId="77777777" w:rsidTr="00EE335B">
        <w:trPr>
          <w:trHeight w:val="510"/>
          <w:jc w:val="center"/>
        </w:trPr>
        <w:tc>
          <w:tcPr>
            <w:tcW w:w="2600" w:type="dxa"/>
            <w:tcBorders>
              <w:top w:val="nil"/>
              <w:left w:val="nil"/>
              <w:bottom w:val="nil"/>
              <w:right w:val="nil"/>
            </w:tcBorders>
            <w:shd w:val="clear" w:color="auto" w:fill="4472C4"/>
            <w:vAlign w:val="center"/>
            <w:hideMark/>
          </w:tcPr>
          <w:p w14:paraId="4821CA18" w14:textId="77777777" w:rsidR="003F6D20" w:rsidRPr="00EE335B" w:rsidRDefault="003F6D20" w:rsidP="00EE335B">
            <w:pPr>
              <w:rPr>
                <w:rFonts w:eastAsia="Times New Roman" w:cs="Times New Roman"/>
                <w:color w:val="FFFFFF"/>
                <w:sz w:val="14"/>
                <w:szCs w:val="14"/>
              </w:rPr>
            </w:pPr>
            <w:r w:rsidRPr="00EE335B">
              <w:rPr>
                <w:rFonts w:eastAsia="Times New Roman" w:cs="Times New Roman"/>
                <w:color w:val="FFFFFF"/>
                <w:sz w:val="14"/>
                <w:szCs w:val="14"/>
              </w:rPr>
              <w:t>Occupation</w:t>
            </w:r>
          </w:p>
        </w:tc>
        <w:tc>
          <w:tcPr>
            <w:tcW w:w="1660" w:type="dxa"/>
            <w:tcBorders>
              <w:top w:val="nil"/>
              <w:left w:val="nil"/>
              <w:bottom w:val="nil"/>
              <w:right w:val="nil"/>
            </w:tcBorders>
            <w:shd w:val="clear" w:color="auto" w:fill="4472C4"/>
            <w:vAlign w:val="center"/>
            <w:hideMark/>
          </w:tcPr>
          <w:p w14:paraId="5352DCA6" w14:textId="77777777" w:rsidR="003F6D20" w:rsidRPr="00EE335B" w:rsidRDefault="003F6D20" w:rsidP="00EE335B">
            <w:pPr>
              <w:jc w:val="center"/>
              <w:rPr>
                <w:rFonts w:eastAsia="Times New Roman" w:cs="Times New Roman"/>
                <w:color w:val="FFFFFF"/>
                <w:sz w:val="14"/>
                <w:szCs w:val="14"/>
              </w:rPr>
            </w:pPr>
            <w:r w:rsidRPr="00EE335B">
              <w:rPr>
                <w:rFonts w:eastAsia="Times New Roman" w:cs="Times New Roman"/>
                <w:color w:val="FFFFFF"/>
                <w:sz w:val="14"/>
                <w:szCs w:val="14"/>
              </w:rPr>
              <w:t>2015 Jobs</w:t>
            </w:r>
          </w:p>
        </w:tc>
        <w:tc>
          <w:tcPr>
            <w:tcW w:w="1660" w:type="dxa"/>
            <w:tcBorders>
              <w:top w:val="nil"/>
              <w:left w:val="nil"/>
              <w:bottom w:val="nil"/>
              <w:right w:val="nil"/>
            </w:tcBorders>
            <w:shd w:val="clear" w:color="auto" w:fill="4472C4"/>
            <w:vAlign w:val="center"/>
            <w:hideMark/>
          </w:tcPr>
          <w:p w14:paraId="2CE7B5A8" w14:textId="77777777" w:rsidR="003F6D20" w:rsidRPr="00EE335B" w:rsidRDefault="003F6D20" w:rsidP="00EE335B">
            <w:pPr>
              <w:jc w:val="center"/>
              <w:rPr>
                <w:rFonts w:eastAsia="Times New Roman" w:cs="Times New Roman"/>
                <w:color w:val="FFFFFF"/>
                <w:sz w:val="14"/>
                <w:szCs w:val="14"/>
              </w:rPr>
            </w:pPr>
            <w:r w:rsidRPr="00EE335B">
              <w:rPr>
                <w:rFonts w:eastAsia="Times New Roman" w:cs="Times New Roman"/>
                <w:color w:val="FFFFFF"/>
                <w:sz w:val="14"/>
                <w:szCs w:val="14"/>
              </w:rPr>
              <w:t>2021 Jobs</w:t>
            </w:r>
          </w:p>
        </w:tc>
        <w:tc>
          <w:tcPr>
            <w:tcW w:w="1660" w:type="dxa"/>
            <w:tcBorders>
              <w:top w:val="nil"/>
              <w:left w:val="nil"/>
              <w:bottom w:val="nil"/>
              <w:right w:val="nil"/>
            </w:tcBorders>
            <w:shd w:val="clear" w:color="auto" w:fill="4472C4"/>
            <w:vAlign w:val="center"/>
            <w:hideMark/>
          </w:tcPr>
          <w:p w14:paraId="5030B058" w14:textId="77777777" w:rsidR="003F6D20" w:rsidRPr="00EE335B" w:rsidRDefault="003F6D20" w:rsidP="00EE335B">
            <w:pPr>
              <w:jc w:val="center"/>
              <w:rPr>
                <w:rFonts w:eastAsia="Times New Roman" w:cs="Times New Roman"/>
                <w:color w:val="FFFFFF"/>
                <w:sz w:val="14"/>
                <w:szCs w:val="14"/>
              </w:rPr>
            </w:pPr>
            <w:r w:rsidRPr="00EE335B">
              <w:rPr>
                <w:rFonts w:eastAsia="Times New Roman" w:cs="Times New Roman"/>
                <w:color w:val="FFFFFF"/>
                <w:sz w:val="14"/>
                <w:szCs w:val="14"/>
              </w:rPr>
              <w:t>2015 - 2021 Change</w:t>
            </w:r>
          </w:p>
        </w:tc>
        <w:tc>
          <w:tcPr>
            <w:tcW w:w="1660" w:type="dxa"/>
            <w:tcBorders>
              <w:top w:val="nil"/>
              <w:left w:val="nil"/>
              <w:bottom w:val="nil"/>
              <w:right w:val="nil"/>
            </w:tcBorders>
            <w:shd w:val="clear" w:color="auto" w:fill="4472C4"/>
            <w:vAlign w:val="center"/>
            <w:hideMark/>
          </w:tcPr>
          <w:p w14:paraId="76E9F04A" w14:textId="77777777" w:rsidR="003F6D20" w:rsidRPr="00EE335B" w:rsidRDefault="003F6D20" w:rsidP="00EE335B">
            <w:pPr>
              <w:jc w:val="center"/>
              <w:rPr>
                <w:rFonts w:eastAsia="Times New Roman" w:cs="Times New Roman"/>
                <w:color w:val="FFFFFF"/>
                <w:sz w:val="14"/>
                <w:szCs w:val="14"/>
              </w:rPr>
            </w:pPr>
            <w:r w:rsidRPr="00EE335B">
              <w:rPr>
                <w:rFonts w:eastAsia="Times New Roman" w:cs="Times New Roman"/>
                <w:color w:val="FFFFFF"/>
                <w:sz w:val="14"/>
                <w:szCs w:val="14"/>
              </w:rPr>
              <w:t>2015 - 2021 % Change</w:t>
            </w:r>
          </w:p>
        </w:tc>
      </w:tr>
      <w:tr w:rsidR="003F6D20" w:rsidRPr="00EE335B" w14:paraId="6958060E" w14:textId="77777777" w:rsidTr="001C65FC">
        <w:trPr>
          <w:trHeight w:val="288"/>
          <w:jc w:val="center"/>
        </w:trPr>
        <w:tc>
          <w:tcPr>
            <w:tcW w:w="2600" w:type="dxa"/>
            <w:tcBorders>
              <w:top w:val="nil"/>
              <w:left w:val="nil"/>
              <w:bottom w:val="nil"/>
              <w:right w:val="nil"/>
            </w:tcBorders>
            <w:shd w:val="clear" w:color="auto" w:fill="auto"/>
            <w:noWrap/>
            <w:vAlign w:val="center"/>
            <w:hideMark/>
          </w:tcPr>
          <w:p w14:paraId="2879FB5D" w14:textId="77777777" w:rsidR="003F6D20" w:rsidRPr="00EE335B" w:rsidRDefault="003F6D20" w:rsidP="00EE335B">
            <w:pPr>
              <w:pStyle w:val="NoSpacing"/>
              <w:rPr>
                <w:rFonts w:ascii="Times New Roman" w:hAnsi="Times New Roman" w:cs="Times New Roman"/>
                <w:sz w:val="14"/>
                <w:szCs w:val="14"/>
              </w:rPr>
            </w:pPr>
            <w:r w:rsidRPr="00EE335B">
              <w:rPr>
                <w:rFonts w:ascii="Times New Roman" w:hAnsi="Times New Roman" w:cs="Times New Roman"/>
                <w:sz w:val="14"/>
                <w:szCs w:val="14"/>
              </w:rPr>
              <w:t>Retail Salespersons</w:t>
            </w:r>
          </w:p>
        </w:tc>
        <w:tc>
          <w:tcPr>
            <w:tcW w:w="1660" w:type="dxa"/>
            <w:tcBorders>
              <w:top w:val="nil"/>
              <w:left w:val="nil"/>
              <w:bottom w:val="nil"/>
              <w:right w:val="nil"/>
            </w:tcBorders>
            <w:shd w:val="clear" w:color="auto" w:fill="auto"/>
            <w:noWrap/>
            <w:vAlign w:val="center"/>
            <w:hideMark/>
          </w:tcPr>
          <w:p w14:paraId="6AACEAC3"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4,225</w:t>
            </w:r>
          </w:p>
        </w:tc>
        <w:tc>
          <w:tcPr>
            <w:tcW w:w="1660" w:type="dxa"/>
            <w:tcBorders>
              <w:top w:val="nil"/>
              <w:left w:val="nil"/>
              <w:bottom w:val="nil"/>
              <w:right w:val="nil"/>
            </w:tcBorders>
            <w:shd w:val="clear" w:color="auto" w:fill="auto"/>
            <w:noWrap/>
            <w:vAlign w:val="center"/>
            <w:hideMark/>
          </w:tcPr>
          <w:p w14:paraId="06B71BBA"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4,225</w:t>
            </w:r>
          </w:p>
        </w:tc>
        <w:tc>
          <w:tcPr>
            <w:tcW w:w="1660" w:type="dxa"/>
            <w:tcBorders>
              <w:top w:val="nil"/>
              <w:left w:val="nil"/>
              <w:bottom w:val="nil"/>
              <w:right w:val="nil"/>
            </w:tcBorders>
            <w:shd w:val="clear" w:color="auto" w:fill="auto"/>
            <w:noWrap/>
            <w:vAlign w:val="center"/>
            <w:hideMark/>
          </w:tcPr>
          <w:p w14:paraId="39AF5CBA"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346</w:t>
            </w:r>
          </w:p>
        </w:tc>
        <w:tc>
          <w:tcPr>
            <w:tcW w:w="1660" w:type="dxa"/>
            <w:tcBorders>
              <w:top w:val="nil"/>
              <w:left w:val="nil"/>
              <w:bottom w:val="nil"/>
              <w:right w:val="nil"/>
            </w:tcBorders>
            <w:shd w:val="clear" w:color="auto" w:fill="auto"/>
            <w:noWrap/>
            <w:vAlign w:val="center"/>
            <w:hideMark/>
          </w:tcPr>
          <w:p w14:paraId="17852137"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9%</w:t>
            </w:r>
          </w:p>
        </w:tc>
      </w:tr>
      <w:tr w:rsidR="003F6D20" w:rsidRPr="00EE335B" w14:paraId="7879D252" w14:textId="77777777" w:rsidTr="001C65FC">
        <w:trPr>
          <w:trHeight w:val="288"/>
          <w:jc w:val="center"/>
        </w:trPr>
        <w:tc>
          <w:tcPr>
            <w:tcW w:w="2600" w:type="dxa"/>
            <w:tcBorders>
              <w:top w:val="nil"/>
              <w:left w:val="nil"/>
              <w:bottom w:val="nil"/>
              <w:right w:val="nil"/>
            </w:tcBorders>
            <w:shd w:val="clear" w:color="auto" w:fill="DAEEF3" w:themeFill="accent5" w:themeFillTint="33"/>
            <w:noWrap/>
            <w:vAlign w:val="center"/>
            <w:hideMark/>
          </w:tcPr>
          <w:p w14:paraId="70ED476F" w14:textId="77777777" w:rsidR="003F6D20" w:rsidRPr="00EE335B" w:rsidRDefault="003F6D20" w:rsidP="00EE335B">
            <w:pPr>
              <w:pStyle w:val="NoSpacing"/>
              <w:rPr>
                <w:rFonts w:ascii="Times New Roman" w:hAnsi="Times New Roman" w:cs="Times New Roman"/>
                <w:sz w:val="14"/>
                <w:szCs w:val="14"/>
              </w:rPr>
            </w:pPr>
            <w:r w:rsidRPr="00EE335B">
              <w:rPr>
                <w:rFonts w:ascii="Times New Roman" w:hAnsi="Times New Roman" w:cs="Times New Roman"/>
                <w:sz w:val="14"/>
                <w:szCs w:val="14"/>
              </w:rPr>
              <w:t>Waiters and Waitresses</w:t>
            </w:r>
          </w:p>
        </w:tc>
        <w:tc>
          <w:tcPr>
            <w:tcW w:w="1660" w:type="dxa"/>
            <w:tcBorders>
              <w:top w:val="nil"/>
              <w:left w:val="nil"/>
              <w:bottom w:val="nil"/>
              <w:right w:val="nil"/>
            </w:tcBorders>
            <w:shd w:val="clear" w:color="auto" w:fill="DAEEF3" w:themeFill="accent5" w:themeFillTint="33"/>
            <w:noWrap/>
            <w:vAlign w:val="center"/>
            <w:hideMark/>
          </w:tcPr>
          <w:p w14:paraId="59DA734B"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3,991</w:t>
            </w:r>
          </w:p>
        </w:tc>
        <w:tc>
          <w:tcPr>
            <w:tcW w:w="1660" w:type="dxa"/>
            <w:tcBorders>
              <w:top w:val="nil"/>
              <w:left w:val="nil"/>
              <w:bottom w:val="nil"/>
              <w:right w:val="nil"/>
            </w:tcBorders>
            <w:shd w:val="clear" w:color="auto" w:fill="DAEEF3" w:themeFill="accent5" w:themeFillTint="33"/>
            <w:noWrap/>
            <w:vAlign w:val="center"/>
            <w:hideMark/>
          </w:tcPr>
          <w:p w14:paraId="2C85FBC2"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3,991</w:t>
            </w:r>
          </w:p>
        </w:tc>
        <w:tc>
          <w:tcPr>
            <w:tcW w:w="1660" w:type="dxa"/>
            <w:tcBorders>
              <w:top w:val="nil"/>
              <w:left w:val="nil"/>
              <w:bottom w:val="nil"/>
              <w:right w:val="nil"/>
            </w:tcBorders>
            <w:shd w:val="clear" w:color="auto" w:fill="DAEEF3" w:themeFill="accent5" w:themeFillTint="33"/>
            <w:noWrap/>
            <w:vAlign w:val="center"/>
            <w:hideMark/>
          </w:tcPr>
          <w:p w14:paraId="2B181074"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469</w:t>
            </w:r>
          </w:p>
        </w:tc>
        <w:tc>
          <w:tcPr>
            <w:tcW w:w="1660" w:type="dxa"/>
            <w:tcBorders>
              <w:top w:val="nil"/>
              <w:left w:val="nil"/>
              <w:bottom w:val="nil"/>
              <w:right w:val="nil"/>
            </w:tcBorders>
            <w:shd w:val="clear" w:color="auto" w:fill="DAEEF3" w:themeFill="accent5" w:themeFillTint="33"/>
            <w:noWrap/>
            <w:vAlign w:val="center"/>
            <w:hideMark/>
          </w:tcPr>
          <w:p w14:paraId="553BF6D9"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13%</w:t>
            </w:r>
          </w:p>
        </w:tc>
      </w:tr>
      <w:tr w:rsidR="003F6D20" w:rsidRPr="00EE335B" w14:paraId="58FEB34B" w14:textId="77777777" w:rsidTr="001C65FC">
        <w:trPr>
          <w:trHeight w:val="288"/>
          <w:jc w:val="center"/>
        </w:trPr>
        <w:tc>
          <w:tcPr>
            <w:tcW w:w="2600" w:type="dxa"/>
            <w:tcBorders>
              <w:top w:val="nil"/>
              <w:left w:val="nil"/>
              <w:bottom w:val="nil"/>
              <w:right w:val="nil"/>
            </w:tcBorders>
            <w:shd w:val="clear" w:color="auto" w:fill="auto"/>
            <w:noWrap/>
            <w:vAlign w:val="center"/>
            <w:hideMark/>
          </w:tcPr>
          <w:p w14:paraId="74869EC7" w14:textId="77777777" w:rsidR="003F6D20" w:rsidRPr="00EE335B" w:rsidRDefault="003F6D20" w:rsidP="00EE335B">
            <w:pPr>
              <w:pStyle w:val="NoSpacing"/>
              <w:rPr>
                <w:rFonts w:ascii="Times New Roman" w:hAnsi="Times New Roman" w:cs="Times New Roman"/>
                <w:sz w:val="14"/>
                <w:szCs w:val="14"/>
              </w:rPr>
            </w:pPr>
            <w:r w:rsidRPr="00EE335B">
              <w:rPr>
                <w:rFonts w:ascii="Times New Roman" w:hAnsi="Times New Roman" w:cs="Times New Roman"/>
                <w:sz w:val="14"/>
                <w:szCs w:val="14"/>
              </w:rPr>
              <w:t>Office Clerks, General</w:t>
            </w:r>
          </w:p>
        </w:tc>
        <w:tc>
          <w:tcPr>
            <w:tcW w:w="1660" w:type="dxa"/>
            <w:tcBorders>
              <w:top w:val="nil"/>
              <w:left w:val="nil"/>
              <w:bottom w:val="nil"/>
              <w:right w:val="nil"/>
            </w:tcBorders>
            <w:shd w:val="clear" w:color="auto" w:fill="auto"/>
            <w:noWrap/>
            <w:vAlign w:val="center"/>
            <w:hideMark/>
          </w:tcPr>
          <w:p w14:paraId="6B863665"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3,208</w:t>
            </w:r>
          </w:p>
        </w:tc>
        <w:tc>
          <w:tcPr>
            <w:tcW w:w="1660" w:type="dxa"/>
            <w:tcBorders>
              <w:top w:val="nil"/>
              <w:left w:val="nil"/>
              <w:bottom w:val="nil"/>
              <w:right w:val="nil"/>
            </w:tcBorders>
            <w:shd w:val="clear" w:color="auto" w:fill="auto"/>
            <w:noWrap/>
            <w:vAlign w:val="center"/>
            <w:hideMark/>
          </w:tcPr>
          <w:p w14:paraId="16E1B582"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3,208</w:t>
            </w:r>
          </w:p>
        </w:tc>
        <w:tc>
          <w:tcPr>
            <w:tcW w:w="1660" w:type="dxa"/>
            <w:tcBorders>
              <w:top w:val="nil"/>
              <w:left w:val="nil"/>
              <w:bottom w:val="nil"/>
              <w:right w:val="nil"/>
            </w:tcBorders>
            <w:shd w:val="clear" w:color="auto" w:fill="auto"/>
            <w:noWrap/>
            <w:vAlign w:val="center"/>
            <w:hideMark/>
          </w:tcPr>
          <w:p w14:paraId="6BFCF698"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202</w:t>
            </w:r>
          </w:p>
        </w:tc>
        <w:tc>
          <w:tcPr>
            <w:tcW w:w="1660" w:type="dxa"/>
            <w:tcBorders>
              <w:top w:val="nil"/>
              <w:left w:val="nil"/>
              <w:bottom w:val="nil"/>
              <w:right w:val="nil"/>
            </w:tcBorders>
            <w:shd w:val="clear" w:color="auto" w:fill="auto"/>
            <w:noWrap/>
            <w:vAlign w:val="center"/>
            <w:hideMark/>
          </w:tcPr>
          <w:p w14:paraId="628D122A"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7%</w:t>
            </w:r>
          </w:p>
        </w:tc>
      </w:tr>
      <w:tr w:rsidR="003F6D20" w:rsidRPr="00EE335B" w14:paraId="1B7D7A7D" w14:textId="77777777" w:rsidTr="001C65FC">
        <w:trPr>
          <w:trHeight w:val="288"/>
          <w:jc w:val="center"/>
        </w:trPr>
        <w:tc>
          <w:tcPr>
            <w:tcW w:w="2600" w:type="dxa"/>
            <w:tcBorders>
              <w:top w:val="nil"/>
              <w:left w:val="nil"/>
              <w:bottom w:val="nil"/>
              <w:right w:val="nil"/>
            </w:tcBorders>
            <w:shd w:val="clear" w:color="auto" w:fill="DAEEF3" w:themeFill="accent5" w:themeFillTint="33"/>
            <w:noWrap/>
            <w:vAlign w:val="center"/>
            <w:hideMark/>
          </w:tcPr>
          <w:p w14:paraId="3E311C83" w14:textId="77777777" w:rsidR="003F6D20" w:rsidRPr="00EE335B" w:rsidRDefault="003F6D20" w:rsidP="00EE335B">
            <w:pPr>
              <w:pStyle w:val="NoSpacing"/>
              <w:rPr>
                <w:rFonts w:ascii="Times New Roman" w:hAnsi="Times New Roman" w:cs="Times New Roman"/>
                <w:sz w:val="14"/>
                <w:szCs w:val="14"/>
              </w:rPr>
            </w:pPr>
            <w:r w:rsidRPr="00EE335B">
              <w:rPr>
                <w:rFonts w:ascii="Times New Roman" w:hAnsi="Times New Roman" w:cs="Times New Roman"/>
                <w:sz w:val="14"/>
                <w:szCs w:val="14"/>
              </w:rPr>
              <w:t>Cashiers</w:t>
            </w:r>
          </w:p>
        </w:tc>
        <w:tc>
          <w:tcPr>
            <w:tcW w:w="1660" w:type="dxa"/>
            <w:tcBorders>
              <w:top w:val="nil"/>
              <w:left w:val="nil"/>
              <w:bottom w:val="nil"/>
              <w:right w:val="nil"/>
            </w:tcBorders>
            <w:shd w:val="clear" w:color="auto" w:fill="DAEEF3" w:themeFill="accent5" w:themeFillTint="33"/>
            <w:noWrap/>
            <w:vAlign w:val="center"/>
            <w:hideMark/>
          </w:tcPr>
          <w:p w14:paraId="7D1FA660"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2,288</w:t>
            </w:r>
          </w:p>
        </w:tc>
        <w:tc>
          <w:tcPr>
            <w:tcW w:w="1660" w:type="dxa"/>
            <w:tcBorders>
              <w:top w:val="nil"/>
              <w:left w:val="nil"/>
              <w:bottom w:val="nil"/>
              <w:right w:val="nil"/>
            </w:tcBorders>
            <w:shd w:val="clear" w:color="auto" w:fill="DAEEF3" w:themeFill="accent5" w:themeFillTint="33"/>
            <w:noWrap/>
            <w:vAlign w:val="center"/>
            <w:hideMark/>
          </w:tcPr>
          <w:p w14:paraId="423EBA72"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2,288</w:t>
            </w:r>
          </w:p>
        </w:tc>
        <w:tc>
          <w:tcPr>
            <w:tcW w:w="1660" w:type="dxa"/>
            <w:tcBorders>
              <w:top w:val="nil"/>
              <w:left w:val="nil"/>
              <w:bottom w:val="nil"/>
              <w:right w:val="nil"/>
            </w:tcBorders>
            <w:shd w:val="clear" w:color="auto" w:fill="DAEEF3" w:themeFill="accent5" w:themeFillTint="33"/>
            <w:noWrap/>
            <w:vAlign w:val="center"/>
            <w:hideMark/>
          </w:tcPr>
          <w:p w14:paraId="7B836DC5"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122</w:t>
            </w:r>
          </w:p>
        </w:tc>
        <w:tc>
          <w:tcPr>
            <w:tcW w:w="1660" w:type="dxa"/>
            <w:tcBorders>
              <w:top w:val="nil"/>
              <w:left w:val="nil"/>
              <w:bottom w:val="nil"/>
              <w:right w:val="nil"/>
            </w:tcBorders>
            <w:shd w:val="clear" w:color="auto" w:fill="DAEEF3" w:themeFill="accent5" w:themeFillTint="33"/>
            <w:noWrap/>
            <w:vAlign w:val="center"/>
            <w:hideMark/>
          </w:tcPr>
          <w:p w14:paraId="7C170DE8"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6%</w:t>
            </w:r>
          </w:p>
        </w:tc>
      </w:tr>
      <w:tr w:rsidR="003F6D20" w:rsidRPr="00EE335B" w14:paraId="5F9D4615" w14:textId="77777777" w:rsidTr="001C65FC">
        <w:trPr>
          <w:trHeight w:val="288"/>
          <w:jc w:val="center"/>
        </w:trPr>
        <w:tc>
          <w:tcPr>
            <w:tcW w:w="2600" w:type="dxa"/>
            <w:tcBorders>
              <w:top w:val="nil"/>
              <w:left w:val="nil"/>
              <w:bottom w:val="nil"/>
              <w:right w:val="nil"/>
            </w:tcBorders>
            <w:shd w:val="clear" w:color="auto" w:fill="auto"/>
            <w:noWrap/>
            <w:vAlign w:val="center"/>
            <w:hideMark/>
          </w:tcPr>
          <w:p w14:paraId="37D0D4F8" w14:textId="77777777" w:rsidR="003F6D20" w:rsidRPr="00EE335B" w:rsidRDefault="003F6D20" w:rsidP="00EE335B">
            <w:pPr>
              <w:pStyle w:val="NoSpacing"/>
              <w:rPr>
                <w:rFonts w:ascii="Times New Roman" w:hAnsi="Times New Roman" w:cs="Times New Roman"/>
                <w:sz w:val="14"/>
                <w:szCs w:val="14"/>
              </w:rPr>
            </w:pPr>
            <w:r w:rsidRPr="00EE335B">
              <w:rPr>
                <w:rFonts w:ascii="Times New Roman" w:hAnsi="Times New Roman" w:cs="Times New Roman"/>
                <w:sz w:val="14"/>
                <w:szCs w:val="14"/>
              </w:rPr>
              <w:t>Combined Food Preparation and Serving Workers, Including Fast Food</w:t>
            </w:r>
          </w:p>
        </w:tc>
        <w:tc>
          <w:tcPr>
            <w:tcW w:w="1660" w:type="dxa"/>
            <w:tcBorders>
              <w:top w:val="nil"/>
              <w:left w:val="nil"/>
              <w:bottom w:val="nil"/>
              <w:right w:val="nil"/>
            </w:tcBorders>
            <w:shd w:val="clear" w:color="auto" w:fill="auto"/>
            <w:noWrap/>
            <w:vAlign w:val="center"/>
            <w:hideMark/>
          </w:tcPr>
          <w:p w14:paraId="6186F37A"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2,494</w:t>
            </w:r>
          </w:p>
        </w:tc>
        <w:tc>
          <w:tcPr>
            <w:tcW w:w="1660" w:type="dxa"/>
            <w:tcBorders>
              <w:top w:val="nil"/>
              <w:left w:val="nil"/>
              <w:bottom w:val="nil"/>
              <w:right w:val="nil"/>
            </w:tcBorders>
            <w:shd w:val="clear" w:color="auto" w:fill="auto"/>
            <w:noWrap/>
            <w:vAlign w:val="center"/>
            <w:hideMark/>
          </w:tcPr>
          <w:p w14:paraId="113770CE"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2,494</w:t>
            </w:r>
          </w:p>
        </w:tc>
        <w:tc>
          <w:tcPr>
            <w:tcW w:w="1660" w:type="dxa"/>
            <w:tcBorders>
              <w:top w:val="nil"/>
              <w:left w:val="nil"/>
              <w:bottom w:val="nil"/>
              <w:right w:val="nil"/>
            </w:tcBorders>
            <w:shd w:val="clear" w:color="auto" w:fill="auto"/>
            <w:noWrap/>
            <w:vAlign w:val="center"/>
            <w:hideMark/>
          </w:tcPr>
          <w:p w14:paraId="16EF4E61"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365</w:t>
            </w:r>
          </w:p>
        </w:tc>
        <w:tc>
          <w:tcPr>
            <w:tcW w:w="1660" w:type="dxa"/>
            <w:tcBorders>
              <w:top w:val="nil"/>
              <w:left w:val="nil"/>
              <w:bottom w:val="nil"/>
              <w:right w:val="nil"/>
            </w:tcBorders>
            <w:shd w:val="clear" w:color="auto" w:fill="auto"/>
            <w:noWrap/>
            <w:vAlign w:val="center"/>
            <w:hideMark/>
          </w:tcPr>
          <w:p w14:paraId="759E93E9"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17%</w:t>
            </w:r>
          </w:p>
        </w:tc>
      </w:tr>
      <w:tr w:rsidR="003F6D20" w:rsidRPr="00EE335B" w14:paraId="5B800413" w14:textId="77777777" w:rsidTr="001C65FC">
        <w:trPr>
          <w:trHeight w:val="288"/>
          <w:jc w:val="center"/>
        </w:trPr>
        <w:tc>
          <w:tcPr>
            <w:tcW w:w="2600" w:type="dxa"/>
            <w:tcBorders>
              <w:top w:val="nil"/>
              <w:left w:val="nil"/>
              <w:bottom w:val="nil"/>
              <w:right w:val="nil"/>
            </w:tcBorders>
            <w:shd w:val="clear" w:color="auto" w:fill="DAEEF3" w:themeFill="accent5" w:themeFillTint="33"/>
            <w:noWrap/>
            <w:vAlign w:val="center"/>
            <w:hideMark/>
          </w:tcPr>
          <w:p w14:paraId="2F9677F6" w14:textId="77777777" w:rsidR="003F6D20" w:rsidRPr="00EE335B" w:rsidRDefault="003F6D20" w:rsidP="00EE335B">
            <w:pPr>
              <w:pStyle w:val="NoSpacing"/>
              <w:rPr>
                <w:rFonts w:ascii="Times New Roman" w:hAnsi="Times New Roman" w:cs="Times New Roman"/>
                <w:sz w:val="14"/>
                <w:szCs w:val="14"/>
              </w:rPr>
            </w:pPr>
            <w:r w:rsidRPr="00EE335B">
              <w:rPr>
                <w:rFonts w:ascii="Times New Roman" w:hAnsi="Times New Roman" w:cs="Times New Roman"/>
                <w:sz w:val="14"/>
                <w:szCs w:val="14"/>
              </w:rPr>
              <w:t>Secretaries and Administrative Assistants, Except Legal, Medical, and Executive</w:t>
            </w:r>
          </w:p>
        </w:tc>
        <w:tc>
          <w:tcPr>
            <w:tcW w:w="1660" w:type="dxa"/>
            <w:tcBorders>
              <w:top w:val="nil"/>
              <w:left w:val="nil"/>
              <w:bottom w:val="nil"/>
              <w:right w:val="nil"/>
            </w:tcBorders>
            <w:shd w:val="clear" w:color="auto" w:fill="DAEEF3" w:themeFill="accent5" w:themeFillTint="33"/>
            <w:noWrap/>
            <w:vAlign w:val="center"/>
            <w:hideMark/>
          </w:tcPr>
          <w:p w14:paraId="3A84D429"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2,356</w:t>
            </w:r>
          </w:p>
        </w:tc>
        <w:tc>
          <w:tcPr>
            <w:tcW w:w="1660" w:type="dxa"/>
            <w:tcBorders>
              <w:top w:val="nil"/>
              <w:left w:val="nil"/>
              <w:bottom w:val="nil"/>
              <w:right w:val="nil"/>
            </w:tcBorders>
            <w:shd w:val="clear" w:color="auto" w:fill="DAEEF3" w:themeFill="accent5" w:themeFillTint="33"/>
            <w:noWrap/>
            <w:vAlign w:val="center"/>
            <w:hideMark/>
          </w:tcPr>
          <w:p w14:paraId="14CC00CA"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2,356</w:t>
            </w:r>
          </w:p>
        </w:tc>
        <w:tc>
          <w:tcPr>
            <w:tcW w:w="1660" w:type="dxa"/>
            <w:tcBorders>
              <w:top w:val="nil"/>
              <w:left w:val="nil"/>
              <w:bottom w:val="nil"/>
              <w:right w:val="nil"/>
            </w:tcBorders>
            <w:shd w:val="clear" w:color="auto" w:fill="DAEEF3" w:themeFill="accent5" w:themeFillTint="33"/>
            <w:noWrap/>
            <w:vAlign w:val="center"/>
            <w:hideMark/>
          </w:tcPr>
          <w:p w14:paraId="7146FB54"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250</w:t>
            </w:r>
          </w:p>
        </w:tc>
        <w:tc>
          <w:tcPr>
            <w:tcW w:w="1660" w:type="dxa"/>
            <w:tcBorders>
              <w:top w:val="nil"/>
              <w:left w:val="nil"/>
              <w:bottom w:val="nil"/>
              <w:right w:val="nil"/>
            </w:tcBorders>
            <w:shd w:val="clear" w:color="auto" w:fill="DAEEF3" w:themeFill="accent5" w:themeFillTint="33"/>
            <w:noWrap/>
            <w:vAlign w:val="center"/>
            <w:hideMark/>
          </w:tcPr>
          <w:p w14:paraId="4B24BD53"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12%</w:t>
            </w:r>
          </w:p>
        </w:tc>
      </w:tr>
      <w:tr w:rsidR="003F6D20" w:rsidRPr="00EE335B" w14:paraId="55314644" w14:textId="77777777" w:rsidTr="001C65FC">
        <w:trPr>
          <w:trHeight w:val="288"/>
          <w:jc w:val="center"/>
        </w:trPr>
        <w:tc>
          <w:tcPr>
            <w:tcW w:w="2600" w:type="dxa"/>
            <w:tcBorders>
              <w:top w:val="nil"/>
              <w:left w:val="nil"/>
              <w:bottom w:val="nil"/>
              <w:right w:val="nil"/>
            </w:tcBorders>
            <w:shd w:val="clear" w:color="auto" w:fill="auto"/>
            <w:noWrap/>
            <w:vAlign w:val="center"/>
            <w:hideMark/>
          </w:tcPr>
          <w:p w14:paraId="59292E75" w14:textId="77777777" w:rsidR="003F6D20" w:rsidRPr="00EE335B" w:rsidRDefault="003F6D20" w:rsidP="00EE335B">
            <w:pPr>
              <w:pStyle w:val="NoSpacing"/>
              <w:rPr>
                <w:rFonts w:ascii="Times New Roman" w:hAnsi="Times New Roman" w:cs="Times New Roman"/>
                <w:sz w:val="14"/>
                <w:szCs w:val="14"/>
              </w:rPr>
            </w:pPr>
            <w:r w:rsidRPr="00EE335B">
              <w:rPr>
                <w:rFonts w:ascii="Times New Roman" w:hAnsi="Times New Roman" w:cs="Times New Roman"/>
                <w:sz w:val="14"/>
                <w:szCs w:val="14"/>
              </w:rPr>
              <w:t>General and Operations Managers</w:t>
            </w:r>
          </w:p>
        </w:tc>
        <w:tc>
          <w:tcPr>
            <w:tcW w:w="1660" w:type="dxa"/>
            <w:tcBorders>
              <w:top w:val="nil"/>
              <w:left w:val="nil"/>
              <w:bottom w:val="nil"/>
              <w:right w:val="nil"/>
            </w:tcBorders>
            <w:shd w:val="clear" w:color="auto" w:fill="auto"/>
            <w:noWrap/>
            <w:vAlign w:val="center"/>
            <w:hideMark/>
          </w:tcPr>
          <w:p w14:paraId="1BE82B61"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2,246</w:t>
            </w:r>
          </w:p>
        </w:tc>
        <w:tc>
          <w:tcPr>
            <w:tcW w:w="1660" w:type="dxa"/>
            <w:tcBorders>
              <w:top w:val="nil"/>
              <w:left w:val="nil"/>
              <w:bottom w:val="nil"/>
              <w:right w:val="nil"/>
            </w:tcBorders>
            <w:shd w:val="clear" w:color="auto" w:fill="auto"/>
            <w:noWrap/>
            <w:vAlign w:val="center"/>
            <w:hideMark/>
          </w:tcPr>
          <w:p w14:paraId="34D4D8CB"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2,246</w:t>
            </w:r>
          </w:p>
        </w:tc>
        <w:tc>
          <w:tcPr>
            <w:tcW w:w="1660" w:type="dxa"/>
            <w:tcBorders>
              <w:top w:val="nil"/>
              <w:left w:val="nil"/>
              <w:bottom w:val="nil"/>
              <w:right w:val="nil"/>
            </w:tcBorders>
            <w:shd w:val="clear" w:color="auto" w:fill="auto"/>
            <w:noWrap/>
            <w:vAlign w:val="center"/>
            <w:hideMark/>
          </w:tcPr>
          <w:p w14:paraId="648DB232"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197</w:t>
            </w:r>
          </w:p>
        </w:tc>
        <w:tc>
          <w:tcPr>
            <w:tcW w:w="1660" w:type="dxa"/>
            <w:tcBorders>
              <w:top w:val="nil"/>
              <w:left w:val="nil"/>
              <w:bottom w:val="nil"/>
              <w:right w:val="nil"/>
            </w:tcBorders>
            <w:shd w:val="clear" w:color="auto" w:fill="auto"/>
            <w:noWrap/>
            <w:vAlign w:val="center"/>
            <w:hideMark/>
          </w:tcPr>
          <w:p w14:paraId="2AFA08D3"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10%</w:t>
            </w:r>
          </w:p>
        </w:tc>
      </w:tr>
      <w:tr w:rsidR="003F6D20" w:rsidRPr="00EE335B" w14:paraId="5F2329FD" w14:textId="77777777" w:rsidTr="001C65FC">
        <w:trPr>
          <w:trHeight w:val="288"/>
          <w:jc w:val="center"/>
        </w:trPr>
        <w:tc>
          <w:tcPr>
            <w:tcW w:w="2600" w:type="dxa"/>
            <w:tcBorders>
              <w:top w:val="nil"/>
              <w:left w:val="nil"/>
              <w:bottom w:val="nil"/>
              <w:right w:val="nil"/>
            </w:tcBorders>
            <w:shd w:val="clear" w:color="auto" w:fill="DAEEF3" w:themeFill="accent5" w:themeFillTint="33"/>
            <w:noWrap/>
            <w:vAlign w:val="center"/>
            <w:hideMark/>
          </w:tcPr>
          <w:p w14:paraId="5E6180B5" w14:textId="77777777" w:rsidR="003F6D20" w:rsidRPr="00EE335B" w:rsidRDefault="003F6D20" w:rsidP="00EE335B">
            <w:pPr>
              <w:pStyle w:val="NoSpacing"/>
              <w:rPr>
                <w:rFonts w:ascii="Times New Roman" w:hAnsi="Times New Roman" w:cs="Times New Roman"/>
                <w:sz w:val="14"/>
                <w:szCs w:val="14"/>
              </w:rPr>
            </w:pPr>
            <w:r w:rsidRPr="00EE335B">
              <w:rPr>
                <w:rFonts w:ascii="Times New Roman" w:hAnsi="Times New Roman" w:cs="Times New Roman"/>
                <w:sz w:val="14"/>
                <w:szCs w:val="14"/>
              </w:rPr>
              <w:t>Postsecondary Teachers</w:t>
            </w:r>
          </w:p>
        </w:tc>
        <w:tc>
          <w:tcPr>
            <w:tcW w:w="1660" w:type="dxa"/>
            <w:tcBorders>
              <w:top w:val="nil"/>
              <w:left w:val="nil"/>
              <w:bottom w:val="nil"/>
              <w:right w:val="nil"/>
            </w:tcBorders>
            <w:shd w:val="clear" w:color="auto" w:fill="DAEEF3" w:themeFill="accent5" w:themeFillTint="33"/>
            <w:noWrap/>
            <w:vAlign w:val="center"/>
            <w:hideMark/>
          </w:tcPr>
          <w:p w14:paraId="5D939012"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2,238</w:t>
            </w:r>
          </w:p>
        </w:tc>
        <w:tc>
          <w:tcPr>
            <w:tcW w:w="1660" w:type="dxa"/>
            <w:tcBorders>
              <w:top w:val="nil"/>
              <w:left w:val="nil"/>
              <w:bottom w:val="nil"/>
              <w:right w:val="nil"/>
            </w:tcBorders>
            <w:shd w:val="clear" w:color="auto" w:fill="DAEEF3" w:themeFill="accent5" w:themeFillTint="33"/>
            <w:noWrap/>
            <w:vAlign w:val="center"/>
            <w:hideMark/>
          </w:tcPr>
          <w:p w14:paraId="010AE719"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2,238</w:t>
            </w:r>
          </w:p>
        </w:tc>
        <w:tc>
          <w:tcPr>
            <w:tcW w:w="1660" w:type="dxa"/>
            <w:tcBorders>
              <w:top w:val="nil"/>
              <w:left w:val="nil"/>
              <w:bottom w:val="nil"/>
              <w:right w:val="nil"/>
            </w:tcBorders>
            <w:shd w:val="clear" w:color="auto" w:fill="DAEEF3" w:themeFill="accent5" w:themeFillTint="33"/>
            <w:noWrap/>
            <w:vAlign w:val="center"/>
            <w:hideMark/>
          </w:tcPr>
          <w:p w14:paraId="1A50546B"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241</w:t>
            </w:r>
          </w:p>
        </w:tc>
        <w:tc>
          <w:tcPr>
            <w:tcW w:w="1660" w:type="dxa"/>
            <w:tcBorders>
              <w:top w:val="nil"/>
              <w:left w:val="nil"/>
              <w:bottom w:val="nil"/>
              <w:right w:val="nil"/>
            </w:tcBorders>
            <w:shd w:val="clear" w:color="auto" w:fill="DAEEF3" w:themeFill="accent5" w:themeFillTint="33"/>
            <w:noWrap/>
            <w:vAlign w:val="center"/>
            <w:hideMark/>
          </w:tcPr>
          <w:p w14:paraId="16C35867"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12%</w:t>
            </w:r>
          </w:p>
        </w:tc>
      </w:tr>
      <w:tr w:rsidR="003F6D20" w:rsidRPr="00EE335B" w14:paraId="4E988C0C" w14:textId="77777777" w:rsidTr="001C65FC">
        <w:trPr>
          <w:trHeight w:val="288"/>
          <w:jc w:val="center"/>
        </w:trPr>
        <w:tc>
          <w:tcPr>
            <w:tcW w:w="2600" w:type="dxa"/>
            <w:tcBorders>
              <w:top w:val="nil"/>
              <w:left w:val="nil"/>
              <w:right w:val="nil"/>
            </w:tcBorders>
            <w:shd w:val="clear" w:color="auto" w:fill="auto"/>
            <w:noWrap/>
            <w:vAlign w:val="center"/>
            <w:hideMark/>
          </w:tcPr>
          <w:p w14:paraId="630ECACD" w14:textId="77777777" w:rsidR="003F6D20" w:rsidRPr="00EE335B" w:rsidRDefault="003F6D20" w:rsidP="00EE335B">
            <w:pPr>
              <w:pStyle w:val="NoSpacing"/>
              <w:rPr>
                <w:rFonts w:ascii="Times New Roman" w:hAnsi="Times New Roman" w:cs="Times New Roman"/>
                <w:sz w:val="14"/>
                <w:szCs w:val="14"/>
              </w:rPr>
            </w:pPr>
            <w:r w:rsidRPr="00EE335B">
              <w:rPr>
                <w:rFonts w:ascii="Times New Roman" w:hAnsi="Times New Roman" w:cs="Times New Roman"/>
                <w:sz w:val="14"/>
                <w:szCs w:val="14"/>
              </w:rPr>
              <w:t>Maids and Housekeeping Cleaners</w:t>
            </w:r>
          </w:p>
        </w:tc>
        <w:tc>
          <w:tcPr>
            <w:tcW w:w="1660" w:type="dxa"/>
            <w:tcBorders>
              <w:top w:val="nil"/>
              <w:left w:val="nil"/>
              <w:right w:val="nil"/>
            </w:tcBorders>
            <w:shd w:val="clear" w:color="auto" w:fill="auto"/>
            <w:noWrap/>
            <w:vAlign w:val="center"/>
            <w:hideMark/>
          </w:tcPr>
          <w:p w14:paraId="4987149B"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1,916</w:t>
            </w:r>
          </w:p>
        </w:tc>
        <w:tc>
          <w:tcPr>
            <w:tcW w:w="1660" w:type="dxa"/>
            <w:tcBorders>
              <w:top w:val="nil"/>
              <w:left w:val="nil"/>
              <w:right w:val="nil"/>
            </w:tcBorders>
            <w:shd w:val="clear" w:color="auto" w:fill="auto"/>
            <w:noWrap/>
            <w:vAlign w:val="center"/>
            <w:hideMark/>
          </w:tcPr>
          <w:p w14:paraId="5E2E5AFE"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1,916</w:t>
            </w:r>
          </w:p>
        </w:tc>
        <w:tc>
          <w:tcPr>
            <w:tcW w:w="1660" w:type="dxa"/>
            <w:tcBorders>
              <w:top w:val="nil"/>
              <w:left w:val="nil"/>
              <w:right w:val="nil"/>
            </w:tcBorders>
            <w:shd w:val="clear" w:color="auto" w:fill="auto"/>
            <w:noWrap/>
            <w:vAlign w:val="center"/>
            <w:hideMark/>
          </w:tcPr>
          <w:p w14:paraId="3365B690"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86</w:t>
            </w:r>
          </w:p>
        </w:tc>
        <w:tc>
          <w:tcPr>
            <w:tcW w:w="1660" w:type="dxa"/>
            <w:tcBorders>
              <w:top w:val="nil"/>
              <w:left w:val="nil"/>
              <w:right w:val="nil"/>
            </w:tcBorders>
            <w:shd w:val="clear" w:color="auto" w:fill="auto"/>
            <w:noWrap/>
            <w:vAlign w:val="center"/>
            <w:hideMark/>
          </w:tcPr>
          <w:p w14:paraId="6019888E"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5%</w:t>
            </w:r>
          </w:p>
        </w:tc>
      </w:tr>
      <w:tr w:rsidR="003F6D20" w:rsidRPr="00EE335B" w14:paraId="5DD8494B" w14:textId="77777777" w:rsidTr="001C65FC">
        <w:trPr>
          <w:trHeight w:val="288"/>
          <w:jc w:val="center"/>
        </w:trPr>
        <w:tc>
          <w:tcPr>
            <w:tcW w:w="2600" w:type="dxa"/>
            <w:tcBorders>
              <w:top w:val="nil"/>
              <w:left w:val="nil"/>
              <w:bottom w:val="single" w:sz="4" w:space="0" w:color="auto"/>
              <w:right w:val="nil"/>
            </w:tcBorders>
            <w:shd w:val="clear" w:color="auto" w:fill="DAEEF3" w:themeFill="accent5" w:themeFillTint="33"/>
            <w:noWrap/>
            <w:vAlign w:val="center"/>
            <w:hideMark/>
          </w:tcPr>
          <w:p w14:paraId="4D4187BE" w14:textId="77777777" w:rsidR="003F6D20" w:rsidRPr="00EE335B" w:rsidRDefault="003F6D20" w:rsidP="00EE335B">
            <w:pPr>
              <w:pStyle w:val="NoSpacing"/>
              <w:rPr>
                <w:rFonts w:ascii="Times New Roman" w:hAnsi="Times New Roman" w:cs="Times New Roman"/>
                <w:sz w:val="14"/>
                <w:szCs w:val="14"/>
              </w:rPr>
            </w:pPr>
            <w:r w:rsidRPr="00EE335B">
              <w:rPr>
                <w:rFonts w:ascii="Times New Roman" w:hAnsi="Times New Roman" w:cs="Times New Roman"/>
                <w:sz w:val="14"/>
                <w:szCs w:val="14"/>
              </w:rPr>
              <w:t>Registered Nurses</w:t>
            </w:r>
          </w:p>
        </w:tc>
        <w:tc>
          <w:tcPr>
            <w:tcW w:w="1660" w:type="dxa"/>
            <w:tcBorders>
              <w:top w:val="nil"/>
              <w:left w:val="nil"/>
              <w:bottom w:val="single" w:sz="4" w:space="0" w:color="auto"/>
              <w:right w:val="nil"/>
            </w:tcBorders>
            <w:shd w:val="clear" w:color="auto" w:fill="DAEEF3" w:themeFill="accent5" w:themeFillTint="33"/>
            <w:noWrap/>
            <w:vAlign w:val="center"/>
            <w:hideMark/>
          </w:tcPr>
          <w:p w14:paraId="660166A1"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1,987</w:t>
            </w:r>
          </w:p>
        </w:tc>
        <w:tc>
          <w:tcPr>
            <w:tcW w:w="1660" w:type="dxa"/>
            <w:tcBorders>
              <w:top w:val="nil"/>
              <w:left w:val="nil"/>
              <w:bottom w:val="single" w:sz="4" w:space="0" w:color="auto"/>
              <w:right w:val="nil"/>
            </w:tcBorders>
            <w:shd w:val="clear" w:color="auto" w:fill="DAEEF3" w:themeFill="accent5" w:themeFillTint="33"/>
            <w:noWrap/>
            <w:vAlign w:val="center"/>
            <w:hideMark/>
          </w:tcPr>
          <w:p w14:paraId="5ECB09D3"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1,987</w:t>
            </w:r>
          </w:p>
        </w:tc>
        <w:tc>
          <w:tcPr>
            <w:tcW w:w="1660" w:type="dxa"/>
            <w:tcBorders>
              <w:top w:val="nil"/>
              <w:left w:val="nil"/>
              <w:bottom w:val="single" w:sz="4" w:space="0" w:color="auto"/>
              <w:right w:val="nil"/>
            </w:tcBorders>
            <w:shd w:val="clear" w:color="auto" w:fill="DAEEF3" w:themeFill="accent5" w:themeFillTint="33"/>
            <w:noWrap/>
            <w:vAlign w:val="center"/>
            <w:hideMark/>
          </w:tcPr>
          <w:p w14:paraId="2E44CD9A"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195</w:t>
            </w:r>
          </w:p>
        </w:tc>
        <w:tc>
          <w:tcPr>
            <w:tcW w:w="1660" w:type="dxa"/>
            <w:tcBorders>
              <w:top w:val="nil"/>
              <w:left w:val="nil"/>
              <w:bottom w:val="single" w:sz="4" w:space="0" w:color="auto"/>
              <w:right w:val="nil"/>
            </w:tcBorders>
            <w:shd w:val="clear" w:color="auto" w:fill="DAEEF3" w:themeFill="accent5" w:themeFillTint="33"/>
            <w:noWrap/>
            <w:vAlign w:val="center"/>
            <w:hideMark/>
          </w:tcPr>
          <w:p w14:paraId="209060A4"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11%</w:t>
            </w:r>
          </w:p>
        </w:tc>
      </w:tr>
    </w:tbl>
    <w:p w14:paraId="4D80BAA8" w14:textId="77777777" w:rsidR="003F6D20" w:rsidRPr="00EE335B" w:rsidRDefault="003F6D20" w:rsidP="003F6D20">
      <w:pPr>
        <w:rPr>
          <w:rFonts w:cs="Times New Roman"/>
          <w:i/>
          <w:sz w:val="14"/>
        </w:rPr>
      </w:pPr>
      <w:r w:rsidRPr="00EE335B">
        <w:rPr>
          <w:rFonts w:cs="Times New Roman"/>
          <w:i/>
          <w:sz w:val="14"/>
        </w:rPr>
        <w:t>Source: Economic Modeling Specialists Intl (EMSI) Quarterly Census of Employment and Wages (QCEW) Q1 2016 Data Report for zip codes in Santa Monica and Malibu</w:t>
      </w:r>
    </w:p>
    <w:p w14:paraId="45AE1B8A" w14:textId="77777777" w:rsidR="003F6D20" w:rsidRPr="00EE335B" w:rsidRDefault="003F6D20" w:rsidP="003D4C4D">
      <w:pPr>
        <w:pStyle w:val="Heading4"/>
      </w:pPr>
      <w:r w:rsidRPr="00EE335B">
        <w:t>Fastest Growing Occupations</w:t>
      </w:r>
    </w:p>
    <w:p w14:paraId="43634AC2" w14:textId="054222F0" w:rsidR="003F6D20" w:rsidRPr="00EE335B" w:rsidRDefault="003F6D20" w:rsidP="00B71792">
      <w:pPr>
        <w:pStyle w:val="Normalwithspacebetween"/>
      </w:pPr>
      <w:r w:rsidRPr="00EE335B">
        <w:t>The fastest growing occupation (the largest estimated percent change in numbers of job between 2015 and 2021) is personal care aides (+53</w:t>
      </w:r>
      <w:r w:rsidR="00B5133B">
        <w:t xml:space="preserve"> percent</w:t>
      </w:r>
      <w:r w:rsidRPr="00EE335B">
        <w:t>), followed by market research analysts and marketing specialists (21</w:t>
      </w:r>
      <w:r w:rsidR="00B5133B">
        <w:t xml:space="preserve"> percent</w:t>
      </w:r>
      <w:r w:rsidRPr="00EE335B">
        <w:t>).</w:t>
      </w:r>
    </w:p>
    <w:p w14:paraId="5337D535" w14:textId="77777777" w:rsidR="003F6D20" w:rsidRPr="00EE335B" w:rsidRDefault="003F6D20" w:rsidP="003F6D20">
      <w:pPr>
        <w:jc w:val="center"/>
        <w:rPr>
          <w:rFonts w:cs="Times New Roman"/>
          <w:sz w:val="20"/>
        </w:rPr>
      </w:pPr>
      <w:r w:rsidRPr="00EE335B">
        <w:rPr>
          <w:rFonts w:cs="Times New Roman"/>
          <w:sz w:val="20"/>
        </w:rPr>
        <w:t>2015 Top Ten Fastest Growing Occupations in District Area</w:t>
      </w:r>
    </w:p>
    <w:tbl>
      <w:tblPr>
        <w:tblW w:w="9240" w:type="dxa"/>
        <w:jc w:val="center"/>
        <w:tblLook w:val="04A0" w:firstRow="1" w:lastRow="0" w:firstColumn="1" w:lastColumn="0" w:noHBand="0" w:noVBand="1"/>
      </w:tblPr>
      <w:tblGrid>
        <w:gridCol w:w="2600"/>
        <w:gridCol w:w="1660"/>
        <w:gridCol w:w="1660"/>
        <w:gridCol w:w="1660"/>
        <w:gridCol w:w="1660"/>
      </w:tblGrid>
      <w:tr w:rsidR="003F6D20" w:rsidRPr="00EE335B" w14:paraId="1B720C85" w14:textId="77777777" w:rsidTr="001C65FC">
        <w:trPr>
          <w:trHeight w:val="288"/>
          <w:jc w:val="center"/>
        </w:trPr>
        <w:tc>
          <w:tcPr>
            <w:tcW w:w="2600" w:type="dxa"/>
            <w:tcBorders>
              <w:top w:val="nil"/>
              <w:left w:val="nil"/>
              <w:bottom w:val="nil"/>
              <w:right w:val="nil"/>
            </w:tcBorders>
            <w:shd w:val="clear" w:color="auto" w:fill="4472C4"/>
            <w:vAlign w:val="center"/>
            <w:hideMark/>
          </w:tcPr>
          <w:p w14:paraId="1FFB3F34" w14:textId="77777777" w:rsidR="003F6D20" w:rsidRPr="00EE335B" w:rsidRDefault="003F6D20" w:rsidP="00EE335B">
            <w:pPr>
              <w:rPr>
                <w:rFonts w:eastAsia="Times New Roman" w:cs="Times New Roman"/>
                <w:color w:val="FFFFFF"/>
                <w:sz w:val="14"/>
                <w:szCs w:val="14"/>
              </w:rPr>
            </w:pPr>
            <w:r w:rsidRPr="00EE335B">
              <w:rPr>
                <w:rFonts w:eastAsia="Times New Roman" w:cs="Times New Roman"/>
                <w:color w:val="FFFFFF"/>
                <w:sz w:val="14"/>
                <w:szCs w:val="14"/>
              </w:rPr>
              <w:t>Occupation</w:t>
            </w:r>
          </w:p>
        </w:tc>
        <w:tc>
          <w:tcPr>
            <w:tcW w:w="1660" w:type="dxa"/>
            <w:tcBorders>
              <w:top w:val="nil"/>
              <w:left w:val="nil"/>
              <w:bottom w:val="nil"/>
              <w:right w:val="nil"/>
            </w:tcBorders>
            <w:shd w:val="clear" w:color="auto" w:fill="4472C4"/>
            <w:vAlign w:val="center"/>
            <w:hideMark/>
          </w:tcPr>
          <w:p w14:paraId="04B4656B" w14:textId="77777777" w:rsidR="003F6D20" w:rsidRPr="00EE335B" w:rsidRDefault="003F6D20" w:rsidP="00EE335B">
            <w:pPr>
              <w:jc w:val="center"/>
              <w:rPr>
                <w:rFonts w:eastAsia="Times New Roman" w:cs="Times New Roman"/>
                <w:color w:val="FFFFFF"/>
                <w:sz w:val="14"/>
                <w:szCs w:val="14"/>
              </w:rPr>
            </w:pPr>
            <w:r w:rsidRPr="00EE335B">
              <w:rPr>
                <w:rFonts w:eastAsia="Times New Roman" w:cs="Times New Roman"/>
                <w:color w:val="FFFFFF"/>
                <w:sz w:val="14"/>
                <w:szCs w:val="14"/>
              </w:rPr>
              <w:t>2015 Jobs</w:t>
            </w:r>
          </w:p>
        </w:tc>
        <w:tc>
          <w:tcPr>
            <w:tcW w:w="1660" w:type="dxa"/>
            <w:tcBorders>
              <w:top w:val="nil"/>
              <w:left w:val="nil"/>
              <w:bottom w:val="nil"/>
              <w:right w:val="nil"/>
            </w:tcBorders>
            <w:shd w:val="clear" w:color="auto" w:fill="4472C4"/>
            <w:vAlign w:val="center"/>
            <w:hideMark/>
          </w:tcPr>
          <w:p w14:paraId="17A35DD7" w14:textId="77777777" w:rsidR="003F6D20" w:rsidRPr="00EE335B" w:rsidRDefault="003F6D20" w:rsidP="00EE335B">
            <w:pPr>
              <w:jc w:val="center"/>
              <w:rPr>
                <w:rFonts w:eastAsia="Times New Roman" w:cs="Times New Roman"/>
                <w:color w:val="FFFFFF"/>
                <w:sz w:val="14"/>
                <w:szCs w:val="14"/>
              </w:rPr>
            </w:pPr>
            <w:r w:rsidRPr="00EE335B">
              <w:rPr>
                <w:rFonts w:eastAsia="Times New Roman" w:cs="Times New Roman"/>
                <w:color w:val="FFFFFF"/>
                <w:sz w:val="14"/>
                <w:szCs w:val="14"/>
              </w:rPr>
              <w:t>2021 Jobs</w:t>
            </w:r>
          </w:p>
        </w:tc>
        <w:tc>
          <w:tcPr>
            <w:tcW w:w="1660" w:type="dxa"/>
            <w:tcBorders>
              <w:top w:val="nil"/>
              <w:left w:val="nil"/>
              <w:bottom w:val="nil"/>
              <w:right w:val="nil"/>
            </w:tcBorders>
            <w:shd w:val="clear" w:color="auto" w:fill="4472C4"/>
            <w:vAlign w:val="center"/>
            <w:hideMark/>
          </w:tcPr>
          <w:p w14:paraId="7153BBC6" w14:textId="77777777" w:rsidR="003F6D20" w:rsidRPr="00EE335B" w:rsidRDefault="003F6D20" w:rsidP="00EE335B">
            <w:pPr>
              <w:jc w:val="center"/>
              <w:rPr>
                <w:rFonts w:eastAsia="Times New Roman" w:cs="Times New Roman"/>
                <w:color w:val="FFFFFF"/>
                <w:sz w:val="14"/>
                <w:szCs w:val="14"/>
              </w:rPr>
            </w:pPr>
            <w:r w:rsidRPr="00EE335B">
              <w:rPr>
                <w:rFonts w:eastAsia="Times New Roman" w:cs="Times New Roman"/>
                <w:color w:val="FFFFFF"/>
                <w:sz w:val="14"/>
                <w:szCs w:val="14"/>
              </w:rPr>
              <w:t>2015 - 2021 Change</w:t>
            </w:r>
          </w:p>
        </w:tc>
        <w:tc>
          <w:tcPr>
            <w:tcW w:w="1660" w:type="dxa"/>
            <w:tcBorders>
              <w:top w:val="nil"/>
              <w:left w:val="nil"/>
              <w:bottom w:val="nil"/>
              <w:right w:val="nil"/>
            </w:tcBorders>
            <w:shd w:val="clear" w:color="auto" w:fill="4472C4"/>
            <w:vAlign w:val="center"/>
            <w:hideMark/>
          </w:tcPr>
          <w:p w14:paraId="34577D63" w14:textId="77777777" w:rsidR="003F6D20" w:rsidRPr="00EE335B" w:rsidRDefault="003F6D20" w:rsidP="00EE335B">
            <w:pPr>
              <w:jc w:val="center"/>
              <w:rPr>
                <w:rFonts w:eastAsia="Times New Roman" w:cs="Times New Roman"/>
                <w:color w:val="FFFFFF"/>
                <w:sz w:val="14"/>
                <w:szCs w:val="14"/>
              </w:rPr>
            </w:pPr>
            <w:r w:rsidRPr="00EE335B">
              <w:rPr>
                <w:rFonts w:eastAsia="Times New Roman" w:cs="Times New Roman"/>
                <w:color w:val="FFFFFF"/>
                <w:sz w:val="14"/>
                <w:szCs w:val="14"/>
              </w:rPr>
              <w:t>2015 - 2021 % Change</w:t>
            </w:r>
          </w:p>
        </w:tc>
      </w:tr>
      <w:tr w:rsidR="003F6D20" w:rsidRPr="00EE335B" w14:paraId="5BA130E3" w14:textId="77777777" w:rsidTr="001C65FC">
        <w:trPr>
          <w:trHeight w:val="288"/>
          <w:jc w:val="center"/>
        </w:trPr>
        <w:tc>
          <w:tcPr>
            <w:tcW w:w="2600" w:type="dxa"/>
            <w:tcBorders>
              <w:top w:val="nil"/>
              <w:left w:val="nil"/>
              <w:bottom w:val="nil"/>
              <w:right w:val="nil"/>
            </w:tcBorders>
            <w:shd w:val="clear" w:color="auto" w:fill="auto"/>
            <w:noWrap/>
            <w:vAlign w:val="center"/>
            <w:hideMark/>
          </w:tcPr>
          <w:p w14:paraId="0156FDB9" w14:textId="77777777" w:rsidR="003F6D20" w:rsidRPr="00EE335B" w:rsidRDefault="003F6D20" w:rsidP="00EE335B">
            <w:pPr>
              <w:pStyle w:val="NoSpacing"/>
              <w:rPr>
                <w:rFonts w:ascii="Times New Roman" w:hAnsi="Times New Roman" w:cs="Times New Roman"/>
                <w:sz w:val="14"/>
                <w:szCs w:val="14"/>
              </w:rPr>
            </w:pPr>
            <w:r w:rsidRPr="00EE335B">
              <w:rPr>
                <w:rFonts w:ascii="Times New Roman" w:hAnsi="Times New Roman" w:cs="Times New Roman"/>
                <w:sz w:val="14"/>
                <w:szCs w:val="14"/>
              </w:rPr>
              <w:t>Personal Care Aides</w:t>
            </w:r>
          </w:p>
        </w:tc>
        <w:tc>
          <w:tcPr>
            <w:tcW w:w="1660" w:type="dxa"/>
            <w:tcBorders>
              <w:top w:val="nil"/>
              <w:left w:val="nil"/>
              <w:bottom w:val="nil"/>
              <w:right w:val="nil"/>
            </w:tcBorders>
            <w:shd w:val="clear" w:color="auto" w:fill="auto"/>
            <w:noWrap/>
            <w:vAlign w:val="center"/>
            <w:hideMark/>
          </w:tcPr>
          <w:p w14:paraId="0150468D"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848</w:t>
            </w:r>
          </w:p>
        </w:tc>
        <w:tc>
          <w:tcPr>
            <w:tcW w:w="1660" w:type="dxa"/>
            <w:tcBorders>
              <w:top w:val="nil"/>
              <w:left w:val="nil"/>
              <w:bottom w:val="nil"/>
              <w:right w:val="nil"/>
            </w:tcBorders>
            <w:shd w:val="clear" w:color="auto" w:fill="auto"/>
            <w:noWrap/>
            <w:vAlign w:val="center"/>
            <w:hideMark/>
          </w:tcPr>
          <w:p w14:paraId="7FAF465E"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1,298</w:t>
            </w:r>
          </w:p>
        </w:tc>
        <w:tc>
          <w:tcPr>
            <w:tcW w:w="1660" w:type="dxa"/>
            <w:tcBorders>
              <w:top w:val="nil"/>
              <w:left w:val="nil"/>
              <w:bottom w:val="nil"/>
              <w:right w:val="nil"/>
            </w:tcBorders>
            <w:shd w:val="clear" w:color="auto" w:fill="auto"/>
            <w:noWrap/>
            <w:vAlign w:val="center"/>
            <w:hideMark/>
          </w:tcPr>
          <w:p w14:paraId="022B83DE"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451</w:t>
            </w:r>
          </w:p>
        </w:tc>
        <w:tc>
          <w:tcPr>
            <w:tcW w:w="1660" w:type="dxa"/>
            <w:tcBorders>
              <w:top w:val="nil"/>
              <w:left w:val="nil"/>
              <w:bottom w:val="nil"/>
              <w:right w:val="nil"/>
            </w:tcBorders>
            <w:shd w:val="clear" w:color="auto" w:fill="auto"/>
            <w:noWrap/>
            <w:vAlign w:val="center"/>
            <w:hideMark/>
          </w:tcPr>
          <w:p w14:paraId="5A6E7C3E"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53%</w:t>
            </w:r>
          </w:p>
        </w:tc>
      </w:tr>
      <w:tr w:rsidR="003F6D20" w:rsidRPr="00EE335B" w14:paraId="0260CEB1" w14:textId="77777777" w:rsidTr="001C65FC">
        <w:trPr>
          <w:trHeight w:val="288"/>
          <w:jc w:val="center"/>
        </w:trPr>
        <w:tc>
          <w:tcPr>
            <w:tcW w:w="2600" w:type="dxa"/>
            <w:tcBorders>
              <w:top w:val="nil"/>
              <w:left w:val="nil"/>
              <w:bottom w:val="nil"/>
              <w:right w:val="nil"/>
            </w:tcBorders>
            <w:shd w:val="clear" w:color="auto" w:fill="DAEEF3" w:themeFill="accent5" w:themeFillTint="33"/>
            <w:noWrap/>
            <w:vAlign w:val="center"/>
            <w:hideMark/>
          </w:tcPr>
          <w:p w14:paraId="51DD678E" w14:textId="77777777" w:rsidR="003F6D20" w:rsidRPr="00EE335B" w:rsidRDefault="003F6D20" w:rsidP="00EE335B">
            <w:pPr>
              <w:pStyle w:val="NoSpacing"/>
              <w:rPr>
                <w:rFonts w:ascii="Times New Roman" w:hAnsi="Times New Roman" w:cs="Times New Roman"/>
                <w:sz w:val="14"/>
                <w:szCs w:val="14"/>
              </w:rPr>
            </w:pPr>
            <w:r w:rsidRPr="00EE335B">
              <w:rPr>
                <w:rFonts w:ascii="Times New Roman" w:hAnsi="Times New Roman" w:cs="Times New Roman"/>
                <w:sz w:val="14"/>
                <w:szCs w:val="14"/>
              </w:rPr>
              <w:t>Market Research Analysts and Marketing Specialists</w:t>
            </w:r>
          </w:p>
        </w:tc>
        <w:tc>
          <w:tcPr>
            <w:tcW w:w="1660" w:type="dxa"/>
            <w:tcBorders>
              <w:top w:val="nil"/>
              <w:left w:val="nil"/>
              <w:bottom w:val="nil"/>
              <w:right w:val="nil"/>
            </w:tcBorders>
            <w:shd w:val="clear" w:color="auto" w:fill="DAEEF3" w:themeFill="accent5" w:themeFillTint="33"/>
            <w:noWrap/>
            <w:vAlign w:val="center"/>
            <w:hideMark/>
          </w:tcPr>
          <w:p w14:paraId="35DA8C6D"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972</w:t>
            </w:r>
          </w:p>
        </w:tc>
        <w:tc>
          <w:tcPr>
            <w:tcW w:w="1660" w:type="dxa"/>
            <w:tcBorders>
              <w:top w:val="nil"/>
              <w:left w:val="nil"/>
              <w:bottom w:val="nil"/>
              <w:right w:val="nil"/>
            </w:tcBorders>
            <w:shd w:val="clear" w:color="auto" w:fill="DAEEF3" w:themeFill="accent5" w:themeFillTint="33"/>
            <w:noWrap/>
            <w:vAlign w:val="center"/>
            <w:hideMark/>
          </w:tcPr>
          <w:p w14:paraId="1C4A0346"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1,175</w:t>
            </w:r>
          </w:p>
        </w:tc>
        <w:tc>
          <w:tcPr>
            <w:tcW w:w="1660" w:type="dxa"/>
            <w:tcBorders>
              <w:top w:val="nil"/>
              <w:left w:val="nil"/>
              <w:bottom w:val="nil"/>
              <w:right w:val="nil"/>
            </w:tcBorders>
            <w:shd w:val="clear" w:color="auto" w:fill="DAEEF3" w:themeFill="accent5" w:themeFillTint="33"/>
            <w:noWrap/>
            <w:vAlign w:val="center"/>
            <w:hideMark/>
          </w:tcPr>
          <w:p w14:paraId="5E6C4774"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203</w:t>
            </w:r>
          </w:p>
        </w:tc>
        <w:tc>
          <w:tcPr>
            <w:tcW w:w="1660" w:type="dxa"/>
            <w:tcBorders>
              <w:top w:val="nil"/>
              <w:left w:val="nil"/>
              <w:bottom w:val="nil"/>
              <w:right w:val="nil"/>
            </w:tcBorders>
            <w:shd w:val="clear" w:color="auto" w:fill="DAEEF3" w:themeFill="accent5" w:themeFillTint="33"/>
            <w:noWrap/>
            <w:vAlign w:val="center"/>
            <w:hideMark/>
          </w:tcPr>
          <w:p w14:paraId="7AFE21BA"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21%</w:t>
            </w:r>
          </w:p>
        </w:tc>
      </w:tr>
      <w:tr w:rsidR="003F6D20" w:rsidRPr="00EE335B" w14:paraId="6F34CBB2" w14:textId="77777777" w:rsidTr="001C65FC">
        <w:trPr>
          <w:trHeight w:val="288"/>
          <w:jc w:val="center"/>
        </w:trPr>
        <w:tc>
          <w:tcPr>
            <w:tcW w:w="2600" w:type="dxa"/>
            <w:tcBorders>
              <w:top w:val="nil"/>
              <w:left w:val="nil"/>
              <w:bottom w:val="nil"/>
              <w:right w:val="nil"/>
            </w:tcBorders>
            <w:shd w:val="clear" w:color="auto" w:fill="auto"/>
            <w:noWrap/>
            <w:vAlign w:val="center"/>
            <w:hideMark/>
          </w:tcPr>
          <w:p w14:paraId="56E601FD" w14:textId="77777777" w:rsidR="003F6D20" w:rsidRPr="00EE335B" w:rsidRDefault="003F6D20" w:rsidP="00EE335B">
            <w:pPr>
              <w:pStyle w:val="NoSpacing"/>
              <w:rPr>
                <w:rFonts w:ascii="Times New Roman" w:hAnsi="Times New Roman" w:cs="Times New Roman"/>
                <w:sz w:val="14"/>
                <w:szCs w:val="14"/>
              </w:rPr>
            </w:pPr>
            <w:r w:rsidRPr="00EE335B">
              <w:rPr>
                <w:rFonts w:ascii="Times New Roman" w:hAnsi="Times New Roman" w:cs="Times New Roman"/>
                <w:sz w:val="14"/>
                <w:szCs w:val="14"/>
              </w:rPr>
              <w:t>Cooks, Restaurant</w:t>
            </w:r>
          </w:p>
        </w:tc>
        <w:tc>
          <w:tcPr>
            <w:tcW w:w="1660" w:type="dxa"/>
            <w:tcBorders>
              <w:top w:val="nil"/>
              <w:left w:val="nil"/>
              <w:bottom w:val="nil"/>
              <w:right w:val="nil"/>
            </w:tcBorders>
            <w:shd w:val="clear" w:color="auto" w:fill="auto"/>
            <w:noWrap/>
            <w:vAlign w:val="center"/>
            <w:hideMark/>
          </w:tcPr>
          <w:p w14:paraId="50E72EC3"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1,743</w:t>
            </w:r>
          </w:p>
        </w:tc>
        <w:tc>
          <w:tcPr>
            <w:tcW w:w="1660" w:type="dxa"/>
            <w:tcBorders>
              <w:top w:val="nil"/>
              <w:left w:val="nil"/>
              <w:bottom w:val="nil"/>
              <w:right w:val="nil"/>
            </w:tcBorders>
            <w:shd w:val="clear" w:color="auto" w:fill="auto"/>
            <w:noWrap/>
            <w:vAlign w:val="center"/>
            <w:hideMark/>
          </w:tcPr>
          <w:p w14:paraId="4FF9D63E"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2,060</w:t>
            </w:r>
          </w:p>
        </w:tc>
        <w:tc>
          <w:tcPr>
            <w:tcW w:w="1660" w:type="dxa"/>
            <w:tcBorders>
              <w:top w:val="nil"/>
              <w:left w:val="nil"/>
              <w:bottom w:val="nil"/>
              <w:right w:val="nil"/>
            </w:tcBorders>
            <w:shd w:val="clear" w:color="auto" w:fill="auto"/>
            <w:noWrap/>
            <w:vAlign w:val="center"/>
            <w:hideMark/>
          </w:tcPr>
          <w:p w14:paraId="3E9CD57A"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317</w:t>
            </w:r>
          </w:p>
        </w:tc>
        <w:tc>
          <w:tcPr>
            <w:tcW w:w="1660" w:type="dxa"/>
            <w:tcBorders>
              <w:top w:val="nil"/>
              <w:left w:val="nil"/>
              <w:bottom w:val="nil"/>
              <w:right w:val="nil"/>
            </w:tcBorders>
            <w:shd w:val="clear" w:color="auto" w:fill="auto"/>
            <w:noWrap/>
            <w:vAlign w:val="center"/>
            <w:hideMark/>
          </w:tcPr>
          <w:p w14:paraId="21B671B4"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18%</w:t>
            </w:r>
          </w:p>
        </w:tc>
      </w:tr>
      <w:tr w:rsidR="003F6D20" w:rsidRPr="00EE335B" w14:paraId="449E33B0" w14:textId="77777777" w:rsidTr="001C65FC">
        <w:trPr>
          <w:trHeight w:val="288"/>
          <w:jc w:val="center"/>
        </w:trPr>
        <w:tc>
          <w:tcPr>
            <w:tcW w:w="2600" w:type="dxa"/>
            <w:tcBorders>
              <w:top w:val="nil"/>
              <w:left w:val="nil"/>
              <w:bottom w:val="nil"/>
              <w:right w:val="nil"/>
            </w:tcBorders>
            <w:shd w:val="clear" w:color="auto" w:fill="DAEEF3" w:themeFill="accent5" w:themeFillTint="33"/>
            <w:noWrap/>
            <w:vAlign w:val="center"/>
            <w:hideMark/>
          </w:tcPr>
          <w:p w14:paraId="57776C8A" w14:textId="77777777" w:rsidR="003F6D20" w:rsidRPr="00EE335B" w:rsidRDefault="003F6D20" w:rsidP="00EE335B">
            <w:pPr>
              <w:pStyle w:val="NoSpacing"/>
              <w:rPr>
                <w:rFonts w:ascii="Times New Roman" w:hAnsi="Times New Roman" w:cs="Times New Roman"/>
                <w:sz w:val="14"/>
                <w:szCs w:val="14"/>
              </w:rPr>
            </w:pPr>
            <w:r w:rsidRPr="00EE335B">
              <w:rPr>
                <w:rFonts w:ascii="Times New Roman" w:hAnsi="Times New Roman" w:cs="Times New Roman"/>
                <w:sz w:val="14"/>
                <w:szCs w:val="14"/>
              </w:rPr>
              <w:t>Combined Food Preparation and Serving Workers, Including Fast Food</w:t>
            </w:r>
          </w:p>
        </w:tc>
        <w:tc>
          <w:tcPr>
            <w:tcW w:w="1660" w:type="dxa"/>
            <w:tcBorders>
              <w:top w:val="nil"/>
              <w:left w:val="nil"/>
              <w:bottom w:val="nil"/>
              <w:right w:val="nil"/>
            </w:tcBorders>
            <w:shd w:val="clear" w:color="auto" w:fill="DAEEF3" w:themeFill="accent5" w:themeFillTint="33"/>
            <w:noWrap/>
            <w:vAlign w:val="center"/>
            <w:hideMark/>
          </w:tcPr>
          <w:p w14:paraId="1B8BD429"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2,129</w:t>
            </w:r>
          </w:p>
        </w:tc>
        <w:tc>
          <w:tcPr>
            <w:tcW w:w="1660" w:type="dxa"/>
            <w:tcBorders>
              <w:top w:val="nil"/>
              <w:left w:val="nil"/>
              <w:bottom w:val="nil"/>
              <w:right w:val="nil"/>
            </w:tcBorders>
            <w:shd w:val="clear" w:color="auto" w:fill="DAEEF3" w:themeFill="accent5" w:themeFillTint="33"/>
            <w:noWrap/>
            <w:vAlign w:val="center"/>
            <w:hideMark/>
          </w:tcPr>
          <w:p w14:paraId="5E56DD31"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2,494</w:t>
            </w:r>
          </w:p>
        </w:tc>
        <w:tc>
          <w:tcPr>
            <w:tcW w:w="1660" w:type="dxa"/>
            <w:tcBorders>
              <w:top w:val="nil"/>
              <w:left w:val="nil"/>
              <w:bottom w:val="nil"/>
              <w:right w:val="nil"/>
            </w:tcBorders>
            <w:shd w:val="clear" w:color="auto" w:fill="DAEEF3" w:themeFill="accent5" w:themeFillTint="33"/>
            <w:noWrap/>
            <w:vAlign w:val="center"/>
            <w:hideMark/>
          </w:tcPr>
          <w:p w14:paraId="457098C3"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365</w:t>
            </w:r>
          </w:p>
        </w:tc>
        <w:tc>
          <w:tcPr>
            <w:tcW w:w="1660" w:type="dxa"/>
            <w:tcBorders>
              <w:top w:val="nil"/>
              <w:left w:val="nil"/>
              <w:bottom w:val="nil"/>
              <w:right w:val="nil"/>
            </w:tcBorders>
            <w:shd w:val="clear" w:color="auto" w:fill="DAEEF3" w:themeFill="accent5" w:themeFillTint="33"/>
            <w:noWrap/>
            <w:vAlign w:val="center"/>
            <w:hideMark/>
          </w:tcPr>
          <w:p w14:paraId="0BA14344"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17%</w:t>
            </w:r>
          </w:p>
        </w:tc>
      </w:tr>
      <w:tr w:rsidR="003F6D20" w:rsidRPr="00EE335B" w14:paraId="43E4AC3F" w14:textId="77777777" w:rsidTr="001C65FC">
        <w:trPr>
          <w:trHeight w:val="288"/>
          <w:jc w:val="center"/>
        </w:trPr>
        <w:tc>
          <w:tcPr>
            <w:tcW w:w="2600" w:type="dxa"/>
            <w:tcBorders>
              <w:top w:val="nil"/>
              <w:left w:val="nil"/>
              <w:bottom w:val="nil"/>
              <w:right w:val="nil"/>
            </w:tcBorders>
            <w:shd w:val="clear" w:color="auto" w:fill="auto"/>
            <w:noWrap/>
            <w:vAlign w:val="center"/>
            <w:hideMark/>
          </w:tcPr>
          <w:p w14:paraId="0431B252" w14:textId="77777777" w:rsidR="003F6D20" w:rsidRPr="00EE335B" w:rsidRDefault="003F6D20" w:rsidP="00EE335B">
            <w:pPr>
              <w:pStyle w:val="NoSpacing"/>
              <w:rPr>
                <w:rFonts w:ascii="Times New Roman" w:hAnsi="Times New Roman" w:cs="Times New Roman"/>
                <w:sz w:val="14"/>
                <w:szCs w:val="14"/>
              </w:rPr>
            </w:pPr>
            <w:r w:rsidRPr="00EE335B">
              <w:rPr>
                <w:rFonts w:ascii="Times New Roman" w:hAnsi="Times New Roman" w:cs="Times New Roman"/>
                <w:sz w:val="14"/>
                <w:szCs w:val="14"/>
              </w:rPr>
              <w:t>Waiters and Waitresses</w:t>
            </w:r>
          </w:p>
        </w:tc>
        <w:tc>
          <w:tcPr>
            <w:tcW w:w="1660" w:type="dxa"/>
            <w:tcBorders>
              <w:top w:val="nil"/>
              <w:left w:val="nil"/>
              <w:bottom w:val="nil"/>
              <w:right w:val="nil"/>
            </w:tcBorders>
            <w:shd w:val="clear" w:color="auto" w:fill="auto"/>
            <w:noWrap/>
            <w:vAlign w:val="center"/>
            <w:hideMark/>
          </w:tcPr>
          <w:p w14:paraId="01929CEE"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3,522</w:t>
            </w:r>
          </w:p>
        </w:tc>
        <w:tc>
          <w:tcPr>
            <w:tcW w:w="1660" w:type="dxa"/>
            <w:tcBorders>
              <w:top w:val="nil"/>
              <w:left w:val="nil"/>
              <w:bottom w:val="nil"/>
              <w:right w:val="nil"/>
            </w:tcBorders>
            <w:shd w:val="clear" w:color="auto" w:fill="auto"/>
            <w:noWrap/>
            <w:vAlign w:val="center"/>
            <w:hideMark/>
          </w:tcPr>
          <w:p w14:paraId="709AFF38"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3,991</w:t>
            </w:r>
          </w:p>
        </w:tc>
        <w:tc>
          <w:tcPr>
            <w:tcW w:w="1660" w:type="dxa"/>
            <w:tcBorders>
              <w:top w:val="nil"/>
              <w:left w:val="nil"/>
              <w:bottom w:val="nil"/>
              <w:right w:val="nil"/>
            </w:tcBorders>
            <w:shd w:val="clear" w:color="auto" w:fill="auto"/>
            <w:noWrap/>
            <w:vAlign w:val="center"/>
            <w:hideMark/>
          </w:tcPr>
          <w:p w14:paraId="053E005C"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469</w:t>
            </w:r>
          </w:p>
        </w:tc>
        <w:tc>
          <w:tcPr>
            <w:tcW w:w="1660" w:type="dxa"/>
            <w:tcBorders>
              <w:top w:val="nil"/>
              <w:left w:val="nil"/>
              <w:bottom w:val="nil"/>
              <w:right w:val="nil"/>
            </w:tcBorders>
            <w:shd w:val="clear" w:color="auto" w:fill="auto"/>
            <w:noWrap/>
            <w:vAlign w:val="center"/>
            <w:hideMark/>
          </w:tcPr>
          <w:p w14:paraId="36A06F90"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13%</w:t>
            </w:r>
          </w:p>
        </w:tc>
      </w:tr>
      <w:tr w:rsidR="003F6D20" w:rsidRPr="00EE335B" w14:paraId="73BF29F5" w14:textId="77777777" w:rsidTr="001C65FC">
        <w:trPr>
          <w:trHeight w:val="288"/>
          <w:jc w:val="center"/>
        </w:trPr>
        <w:tc>
          <w:tcPr>
            <w:tcW w:w="2600" w:type="dxa"/>
            <w:tcBorders>
              <w:top w:val="nil"/>
              <w:left w:val="nil"/>
              <w:bottom w:val="nil"/>
              <w:right w:val="nil"/>
            </w:tcBorders>
            <w:shd w:val="clear" w:color="auto" w:fill="DAEEF3" w:themeFill="accent5" w:themeFillTint="33"/>
            <w:noWrap/>
            <w:vAlign w:val="center"/>
            <w:hideMark/>
          </w:tcPr>
          <w:p w14:paraId="36B0CAEC" w14:textId="77777777" w:rsidR="003F6D20" w:rsidRPr="00EE335B" w:rsidRDefault="003F6D20" w:rsidP="00EE335B">
            <w:pPr>
              <w:pStyle w:val="NoSpacing"/>
              <w:rPr>
                <w:rFonts w:ascii="Times New Roman" w:hAnsi="Times New Roman" w:cs="Times New Roman"/>
                <w:sz w:val="14"/>
                <w:szCs w:val="14"/>
              </w:rPr>
            </w:pPr>
            <w:r w:rsidRPr="00EE335B">
              <w:rPr>
                <w:rFonts w:ascii="Times New Roman" w:hAnsi="Times New Roman" w:cs="Times New Roman"/>
                <w:sz w:val="14"/>
                <w:szCs w:val="14"/>
              </w:rPr>
              <w:t>Secretaries and Administrative Assistants, Except Legal, Medical, and Executive</w:t>
            </w:r>
          </w:p>
        </w:tc>
        <w:tc>
          <w:tcPr>
            <w:tcW w:w="1660" w:type="dxa"/>
            <w:tcBorders>
              <w:top w:val="nil"/>
              <w:left w:val="nil"/>
              <w:bottom w:val="nil"/>
              <w:right w:val="nil"/>
            </w:tcBorders>
            <w:shd w:val="clear" w:color="auto" w:fill="DAEEF3" w:themeFill="accent5" w:themeFillTint="33"/>
            <w:noWrap/>
            <w:vAlign w:val="center"/>
            <w:hideMark/>
          </w:tcPr>
          <w:p w14:paraId="37659800"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2,106</w:t>
            </w:r>
          </w:p>
        </w:tc>
        <w:tc>
          <w:tcPr>
            <w:tcW w:w="1660" w:type="dxa"/>
            <w:tcBorders>
              <w:top w:val="nil"/>
              <w:left w:val="nil"/>
              <w:bottom w:val="nil"/>
              <w:right w:val="nil"/>
            </w:tcBorders>
            <w:shd w:val="clear" w:color="auto" w:fill="DAEEF3" w:themeFill="accent5" w:themeFillTint="33"/>
            <w:noWrap/>
            <w:vAlign w:val="center"/>
            <w:hideMark/>
          </w:tcPr>
          <w:p w14:paraId="4F8510CA"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2,356</w:t>
            </w:r>
          </w:p>
        </w:tc>
        <w:tc>
          <w:tcPr>
            <w:tcW w:w="1660" w:type="dxa"/>
            <w:tcBorders>
              <w:top w:val="nil"/>
              <w:left w:val="nil"/>
              <w:bottom w:val="nil"/>
              <w:right w:val="nil"/>
            </w:tcBorders>
            <w:shd w:val="clear" w:color="auto" w:fill="DAEEF3" w:themeFill="accent5" w:themeFillTint="33"/>
            <w:noWrap/>
            <w:vAlign w:val="center"/>
            <w:hideMark/>
          </w:tcPr>
          <w:p w14:paraId="3EE1F897"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250</w:t>
            </w:r>
          </w:p>
        </w:tc>
        <w:tc>
          <w:tcPr>
            <w:tcW w:w="1660" w:type="dxa"/>
            <w:tcBorders>
              <w:top w:val="nil"/>
              <w:left w:val="nil"/>
              <w:bottom w:val="nil"/>
              <w:right w:val="nil"/>
            </w:tcBorders>
            <w:shd w:val="clear" w:color="auto" w:fill="DAEEF3" w:themeFill="accent5" w:themeFillTint="33"/>
            <w:noWrap/>
            <w:vAlign w:val="center"/>
            <w:hideMark/>
          </w:tcPr>
          <w:p w14:paraId="7E0A7F36"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12%</w:t>
            </w:r>
          </w:p>
        </w:tc>
      </w:tr>
      <w:tr w:rsidR="003F6D20" w:rsidRPr="00EE335B" w14:paraId="0721B4F8" w14:textId="77777777" w:rsidTr="001C65FC">
        <w:trPr>
          <w:trHeight w:val="288"/>
          <w:jc w:val="center"/>
        </w:trPr>
        <w:tc>
          <w:tcPr>
            <w:tcW w:w="2600" w:type="dxa"/>
            <w:tcBorders>
              <w:top w:val="nil"/>
              <w:left w:val="nil"/>
              <w:bottom w:val="nil"/>
              <w:right w:val="nil"/>
            </w:tcBorders>
            <w:shd w:val="clear" w:color="auto" w:fill="auto"/>
            <w:noWrap/>
            <w:vAlign w:val="center"/>
            <w:hideMark/>
          </w:tcPr>
          <w:p w14:paraId="07B99936" w14:textId="77777777" w:rsidR="003F6D20" w:rsidRPr="00EE335B" w:rsidRDefault="003F6D20" w:rsidP="00EE335B">
            <w:pPr>
              <w:pStyle w:val="NoSpacing"/>
              <w:rPr>
                <w:rFonts w:ascii="Times New Roman" w:hAnsi="Times New Roman" w:cs="Times New Roman"/>
                <w:sz w:val="14"/>
                <w:szCs w:val="14"/>
              </w:rPr>
            </w:pPr>
            <w:r w:rsidRPr="00EE335B">
              <w:rPr>
                <w:rFonts w:ascii="Times New Roman" w:hAnsi="Times New Roman" w:cs="Times New Roman"/>
                <w:sz w:val="14"/>
                <w:szCs w:val="14"/>
              </w:rPr>
              <w:t>Postsecondary Teachers</w:t>
            </w:r>
          </w:p>
        </w:tc>
        <w:tc>
          <w:tcPr>
            <w:tcW w:w="1660" w:type="dxa"/>
            <w:tcBorders>
              <w:top w:val="nil"/>
              <w:left w:val="nil"/>
              <w:bottom w:val="nil"/>
              <w:right w:val="nil"/>
            </w:tcBorders>
            <w:shd w:val="clear" w:color="auto" w:fill="auto"/>
            <w:noWrap/>
            <w:vAlign w:val="center"/>
            <w:hideMark/>
          </w:tcPr>
          <w:p w14:paraId="7637742C"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1,997</w:t>
            </w:r>
          </w:p>
        </w:tc>
        <w:tc>
          <w:tcPr>
            <w:tcW w:w="1660" w:type="dxa"/>
            <w:tcBorders>
              <w:top w:val="nil"/>
              <w:left w:val="nil"/>
              <w:bottom w:val="nil"/>
              <w:right w:val="nil"/>
            </w:tcBorders>
            <w:shd w:val="clear" w:color="auto" w:fill="auto"/>
            <w:noWrap/>
            <w:vAlign w:val="center"/>
            <w:hideMark/>
          </w:tcPr>
          <w:p w14:paraId="4870A7BB"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2,238</w:t>
            </w:r>
          </w:p>
        </w:tc>
        <w:tc>
          <w:tcPr>
            <w:tcW w:w="1660" w:type="dxa"/>
            <w:tcBorders>
              <w:top w:val="nil"/>
              <w:left w:val="nil"/>
              <w:bottom w:val="nil"/>
              <w:right w:val="nil"/>
            </w:tcBorders>
            <w:shd w:val="clear" w:color="auto" w:fill="auto"/>
            <w:noWrap/>
            <w:vAlign w:val="center"/>
            <w:hideMark/>
          </w:tcPr>
          <w:p w14:paraId="24DF9291"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241</w:t>
            </w:r>
          </w:p>
        </w:tc>
        <w:tc>
          <w:tcPr>
            <w:tcW w:w="1660" w:type="dxa"/>
            <w:tcBorders>
              <w:top w:val="nil"/>
              <w:left w:val="nil"/>
              <w:bottom w:val="nil"/>
              <w:right w:val="nil"/>
            </w:tcBorders>
            <w:shd w:val="clear" w:color="auto" w:fill="auto"/>
            <w:noWrap/>
            <w:vAlign w:val="center"/>
            <w:hideMark/>
          </w:tcPr>
          <w:p w14:paraId="30069227"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12%</w:t>
            </w:r>
          </w:p>
        </w:tc>
      </w:tr>
      <w:tr w:rsidR="003F6D20" w:rsidRPr="00EE335B" w14:paraId="5A4B75EC" w14:textId="77777777" w:rsidTr="001C65FC">
        <w:trPr>
          <w:trHeight w:val="288"/>
          <w:jc w:val="center"/>
        </w:trPr>
        <w:tc>
          <w:tcPr>
            <w:tcW w:w="2600" w:type="dxa"/>
            <w:tcBorders>
              <w:top w:val="nil"/>
              <w:left w:val="nil"/>
              <w:bottom w:val="nil"/>
              <w:right w:val="nil"/>
            </w:tcBorders>
            <w:shd w:val="clear" w:color="auto" w:fill="DAEEF3" w:themeFill="accent5" w:themeFillTint="33"/>
            <w:noWrap/>
            <w:vAlign w:val="center"/>
            <w:hideMark/>
          </w:tcPr>
          <w:p w14:paraId="3328368E" w14:textId="77777777" w:rsidR="003F6D20" w:rsidRPr="00EE335B" w:rsidRDefault="003F6D20" w:rsidP="00EE335B">
            <w:pPr>
              <w:pStyle w:val="NoSpacing"/>
              <w:rPr>
                <w:rFonts w:ascii="Times New Roman" w:hAnsi="Times New Roman" w:cs="Times New Roman"/>
                <w:sz w:val="14"/>
                <w:szCs w:val="14"/>
              </w:rPr>
            </w:pPr>
            <w:r w:rsidRPr="00EE335B">
              <w:rPr>
                <w:rFonts w:ascii="Times New Roman" w:hAnsi="Times New Roman" w:cs="Times New Roman"/>
                <w:sz w:val="14"/>
                <w:szCs w:val="14"/>
              </w:rPr>
              <w:t>General and Operations Managers</w:t>
            </w:r>
          </w:p>
        </w:tc>
        <w:tc>
          <w:tcPr>
            <w:tcW w:w="1660" w:type="dxa"/>
            <w:tcBorders>
              <w:top w:val="nil"/>
              <w:left w:val="nil"/>
              <w:bottom w:val="nil"/>
              <w:right w:val="nil"/>
            </w:tcBorders>
            <w:shd w:val="clear" w:color="auto" w:fill="DAEEF3" w:themeFill="accent5" w:themeFillTint="33"/>
            <w:noWrap/>
            <w:vAlign w:val="center"/>
            <w:hideMark/>
          </w:tcPr>
          <w:p w14:paraId="28C1C2B9"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2,049</w:t>
            </w:r>
          </w:p>
        </w:tc>
        <w:tc>
          <w:tcPr>
            <w:tcW w:w="1660" w:type="dxa"/>
            <w:tcBorders>
              <w:top w:val="nil"/>
              <w:left w:val="nil"/>
              <w:bottom w:val="nil"/>
              <w:right w:val="nil"/>
            </w:tcBorders>
            <w:shd w:val="clear" w:color="auto" w:fill="DAEEF3" w:themeFill="accent5" w:themeFillTint="33"/>
            <w:noWrap/>
            <w:vAlign w:val="center"/>
            <w:hideMark/>
          </w:tcPr>
          <w:p w14:paraId="2C580495"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2,246</w:t>
            </w:r>
          </w:p>
        </w:tc>
        <w:tc>
          <w:tcPr>
            <w:tcW w:w="1660" w:type="dxa"/>
            <w:tcBorders>
              <w:top w:val="nil"/>
              <w:left w:val="nil"/>
              <w:bottom w:val="nil"/>
              <w:right w:val="nil"/>
            </w:tcBorders>
            <w:shd w:val="clear" w:color="auto" w:fill="DAEEF3" w:themeFill="accent5" w:themeFillTint="33"/>
            <w:noWrap/>
            <w:vAlign w:val="center"/>
            <w:hideMark/>
          </w:tcPr>
          <w:p w14:paraId="47B485A5"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197</w:t>
            </w:r>
          </w:p>
        </w:tc>
        <w:tc>
          <w:tcPr>
            <w:tcW w:w="1660" w:type="dxa"/>
            <w:tcBorders>
              <w:top w:val="nil"/>
              <w:left w:val="nil"/>
              <w:bottom w:val="nil"/>
              <w:right w:val="nil"/>
            </w:tcBorders>
            <w:shd w:val="clear" w:color="auto" w:fill="DAEEF3" w:themeFill="accent5" w:themeFillTint="33"/>
            <w:noWrap/>
            <w:vAlign w:val="center"/>
            <w:hideMark/>
          </w:tcPr>
          <w:p w14:paraId="7377E9A6"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10%</w:t>
            </w:r>
          </w:p>
        </w:tc>
      </w:tr>
      <w:tr w:rsidR="003F6D20" w:rsidRPr="00EE335B" w14:paraId="15C0D4CC" w14:textId="77777777" w:rsidTr="001C65FC">
        <w:trPr>
          <w:trHeight w:val="288"/>
          <w:jc w:val="center"/>
        </w:trPr>
        <w:tc>
          <w:tcPr>
            <w:tcW w:w="2600" w:type="dxa"/>
            <w:tcBorders>
              <w:top w:val="nil"/>
              <w:left w:val="nil"/>
              <w:right w:val="nil"/>
            </w:tcBorders>
            <w:shd w:val="clear" w:color="auto" w:fill="auto"/>
            <w:noWrap/>
            <w:vAlign w:val="center"/>
            <w:hideMark/>
          </w:tcPr>
          <w:p w14:paraId="1BF7B8E0" w14:textId="77777777" w:rsidR="003F6D20" w:rsidRPr="00EE335B" w:rsidRDefault="003F6D20" w:rsidP="00EE335B">
            <w:pPr>
              <w:pStyle w:val="NoSpacing"/>
              <w:rPr>
                <w:rFonts w:ascii="Times New Roman" w:hAnsi="Times New Roman" w:cs="Times New Roman"/>
                <w:sz w:val="14"/>
                <w:szCs w:val="14"/>
              </w:rPr>
            </w:pPr>
            <w:r w:rsidRPr="00EE335B">
              <w:rPr>
                <w:rFonts w:ascii="Times New Roman" w:hAnsi="Times New Roman" w:cs="Times New Roman"/>
                <w:sz w:val="14"/>
                <w:szCs w:val="14"/>
              </w:rPr>
              <w:t>Retail Salespersons</w:t>
            </w:r>
          </w:p>
        </w:tc>
        <w:tc>
          <w:tcPr>
            <w:tcW w:w="1660" w:type="dxa"/>
            <w:tcBorders>
              <w:top w:val="nil"/>
              <w:left w:val="nil"/>
              <w:right w:val="nil"/>
            </w:tcBorders>
            <w:shd w:val="clear" w:color="auto" w:fill="auto"/>
            <w:noWrap/>
            <w:vAlign w:val="center"/>
            <w:hideMark/>
          </w:tcPr>
          <w:p w14:paraId="097C308F"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3,878</w:t>
            </w:r>
          </w:p>
        </w:tc>
        <w:tc>
          <w:tcPr>
            <w:tcW w:w="1660" w:type="dxa"/>
            <w:tcBorders>
              <w:top w:val="nil"/>
              <w:left w:val="nil"/>
              <w:right w:val="nil"/>
            </w:tcBorders>
            <w:shd w:val="clear" w:color="auto" w:fill="auto"/>
            <w:noWrap/>
            <w:vAlign w:val="center"/>
            <w:hideMark/>
          </w:tcPr>
          <w:p w14:paraId="7C5FA6DA"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4,225</w:t>
            </w:r>
          </w:p>
        </w:tc>
        <w:tc>
          <w:tcPr>
            <w:tcW w:w="1660" w:type="dxa"/>
            <w:tcBorders>
              <w:top w:val="nil"/>
              <w:left w:val="nil"/>
              <w:right w:val="nil"/>
            </w:tcBorders>
            <w:shd w:val="clear" w:color="auto" w:fill="auto"/>
            <w:noWrap/>
            <w:vAlign w:val="center"/>
            <w:hideMark/>
          </w:tcPr>
          <w:p w14:paraId="7C90EF47"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346</w:t>
            </w:r>
          </w:p>
        </w:tc>
        <w:tc>
          <w:tcPr>
            <w:tcW w:w="1660" w:type="dxa"/>
            <w:tcBorders>
              <w:top w:val="nil"/>
              <w:left w:val="nil"/>
              <w:right w:val="nil"/>
            </w:tcBorders>
            <w:shd w:val="clear" w:color="auto" w:fill="auto"/>
            <w:noWrap/>
            <w:vAlign w:val="center"/>
            <w:hideMark/>
          </w:tcPr>
          <w:p w14:paraId="5F38812F"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9%</w:t>
            </w:r>
          </w:p>
        </w:tc>
      </w:tr>
      <w:tr w:rsidR="003F6D20" w:rsidRPr="00EE335B" w14:paraId="48333F05" w14:textId="77777777" w:rsidTr="001C65FC">
        <w:trPr>
          <w:trHeight w:val="288"/>
          <w:jc w:val="center"/>
        </w:trPr>
        <w:tc>
          <w:tcPr>
            <w:tcW w:w="2600" w:type="dxa"/>
            <w:tcBorders>
              <w:top w:val="nil"/>
              <w:left w:val="nil"/>
              <w:bottom w:val="single" w:sz="4" w:space="0" w:color="auto"/>
              <w:right w:val="nil"/>
            </w:tcBorders>
            <w:shd w:val="clear" w:color="auto" w:fill="DAEEF3" w:themeFill="accent5" w:themeFillTint="33"/>
            <w:noWrap/>
            <w:vAlign w:val="center"/>
            <w:hideMark/>
          </w:tcPr>
          <w:p w14:paraId="21B05F17" w14:textId="77777777" w:rsidR="003F6D20" w:rsidRPr="00EE335B" w:rsidRDefault="003F6D20" w:rsidP="00EE335B">
            <w:pPr>
              <w:pStyle w:val="NoSpacing"/>
              <w:rPr>
                <w:rFonts w:ascii="Times New Roman" w:hAnsi="Times New Roman" w:cs="Times New Roman"/>
                <w:sz w:val="14"/>
                <w:szCs w:val="14"/>
              </w:rPr>
            </w:pPr>
            <w:r w:rsidRPr="00EE335B">
              <w:rPr>
                <w:rFonts w:ascii="Times New Roman" w:hAnsi="Times New Roman" w:cs="Times New Roman"/>
                <w:sz w:val="14"/>
                <w:szCs w:val="14"/>
              </w:rPr>
              <w:t>Office Clerks, General</w:t>
            </w:r>
          </w:p>
        </w:tc>
        <w:tc>
          <w:tcPr>
            <w:tcW w:w="1660" w:type="dxa"/>
            <w:tcBorders>
              <w:top w:val="nil"/>
              <w:left w:val="nil"/>
              <w:bottom w:val="single" w:sz="4" w:space="0" w:color="auto"/>
              <w:right w:val="nil"/>
            </w:tcBorders>
            <w:shd w:val="clear" w:color="auto" w:fill="DAEEF3" w:themeFill="accent5" w:themeFillTint="33"/>
            <w:noWrap/>
            <w:vAlign w:val="center"/>
            <w:hideMark/>
          </w:tcPr>
          <w:p w14:paraId="063CCC0D"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3,007</w:t>
            </w:r>
          </w:p>
        </w:tc>
        <w:tc>
          <w:tcPr>
            <w:tcW w:w="1660" w:type="dxa"/>
            <w:tcBorders>
              <w:top w:val="nil"/>
              <w:left w:val="nil"/>
              <w:bottom w:val="single" w:sz="4" w:space="0" w:color="auto"/>
              <w:right w:val="nil"/>
            </w:tcBorders>
            <w:shd w:val="clear" w:color="auto" w:fill="DAEEF3" w:themeFill="accent5" w:themeFillTint="33"/>
            <w:noWrap/>
            <w:vAlign w:val="center"/>
            <w:hideMark/>
          </w:tcPr>
          <w:p w14:paraId="656CC844"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3,208</w:t>
            </w:r>
          </w:p>
        </w:tc>
        <w:tc>
          <w:tcPr>
            <w:tcW w:w="1660" w:type="dxa"/>
            <w:tcBorders>
              <w:top w:val="nil"/>
              <w:left w:val="nil"/>
              <w:bottom w:val="single" w:sz="4" w:space="0" w:color="auto"/>
              <w:right w:val="nil"/>
            </w:tcBorders>
            <w:shd w:val="clear" w:color="auto" w:fill="DAEEF3" w:themeFill="accent5" w:themeFillTint="33"/>
            <w:noWrap/>
            <w:vAlign w:val="center"/>
            <w:hideMark/>
          </w:tcPr>
          <w:p w14:paraId="194BC5BA"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202</w:t>
            </w:r>
          </w:p>
        </w:tc>
        <w:tc>
          <w:tcPr>
            <w:tcW w:w="1660" w:type="dxa"/>
            <w:tcBorders>
              <w:top w:val="nil"/>
              <w:left w:val="nil"/>
              <w:bottom w:val="single" w:sz="4" w:space="0" w:color="auto"/>
              <w:right w:val="nil"/>
            </w:tcBorders>
            <w:shd w:val="clear" w:color="auto" w:fill="DAEEF3" w:themeFill="accent5" w:themeFillTint="33"/>
            <w:noWrap/>
            <w:vAlign w:val="center"/>
            <w:hideMark/>
          </w:tcPr>
          <w:p w14:paraId="0AED2F10" w14:textId="77777777" w:rsidR="003F6D20" w:rsidRPr="00EE335B" w:rsidRDefault="003F6D20" w:rsidP="00EE335B">
            <w:pPr>
              <w:pStyle w:val="NoSpacing"/>
              <w:jc w:val="center"/>
              <w:rPr>
                <w:rFonts w:ascii="Times New Roman" w:hAnsi="Times New Roman" w:cs="Times New Roman"/>
                <w:sz w:val="14"/>
                <w:szCs w:val="14"/>
              </w:rPr>
            </w:pPr>
            <w:r w:rsidRPr="00EE335B">
              <w:rPr>
                <w:rFonts w:ascii="Times New Roman" w:hAnsi="Times New Roman" w:cs="Times New Roman"/>
                <w:sz w:val="14"/>
                <w:szCs w:val="14"/>
              </w:rPr>
              <w:t>7%</w:t>
            </w:r>
          </w:p>
        </w:tc>
      </w:tr>
    </w:tbl>
    <w:p w14:paraId="71058438" w14:textId="77777777" w:rsidR="003F6D20" w:rsidRPr="00EE335B" w:rsidRDefault="003F6D20" w:rsidP="003F6D20">
      <w:pPr>
        <w:rPr>
          <w:rFonts w:cs="Times New Roman"/>
          <w:sz w:val="20"/>
        </w:rPr>
      </w:pPr>
      <w:r w:rsidRPr="00EE335B">
        <w:rPr>
          <w:rFonts w:cs="Times New Roman"/>
          <w:i/>
          <w:sz w:val="14"/>
        </w:rPr>
        <w:t>Source: Economic Modeling Specialists Intl (EMSI) Quarterly Census of Employment and Wages (QCEW) Q1 2016 Data Report for zip codes in Santa Monica and Malibu</w:t>
      </w:r>
    </w:p>
    <w:p w14:paraId="6B4B3BCF" w14:textId="1BA6E5D1" w:rsidR="003F6D20" w:rsidRPr="00EE335B" w:rsidRDefault="003F6D20" w:rsidP="003D4C4D">
      <w:pPr>
        <w:pStyle w:val="Heading3"/>
        <w:rPr>
          <w:sz w:val="20"/>
        </w:rPr>
      </w:pPr>
      <w:r w:rsidRPr="00EE335B">
        <w:t>Comparison of S</w:t>
      </w:r>
      <w:r w:rsidR="001C0BCD">
        <w:t xml:space="preserve">anta </w:t>
      </w:r>
      <w:r w:rsidRPr="00EE335B">
        <w:t>M</w:t>
      </w:r>
      <w:r w:rsidR="001C0BCD">
        <w:t xml:space="preserve">onica </w:t>
      </w:r>
      <w:r w:rsidRPr="00EE335B">
        <w:t>C</w:t>
      </w:r>
      <w:r w:rsidR="001C0BCD">
        <w:t>ollege</w:t>
      </w:r>
      <w:r w:rsidRPr="00EE335B">
        <w:t xml:space="preserve">’s District Area and </w:t>
      </w:r>
      <w:r w:rsidR="001C0BCD">
        <w:t>Its</w:t>
      </w:r>
      <w:r w:rsidRPr="00EE335B">
        <w:t xml:space="preserve"> Credit Student Population</w:t>
      </w:r>
    </w:p>
    <w:p w14:paraId="40426F4F" w14:textId="77777777" w:rsidR="003F6D20" w:rsidRPr="00EE335B" w:rsidRDefault="003F6D20" w:rsidP="00B71792">
      <w:pPr>
        <w:pStyle w:val="Normalwithspacebetween"/>
      </w:pPr>
      <w:r w:rsidRPr="00B71792">
        <w:t>The</w:t>
      </w:r>
      <w:r w:rsidRPr="00EE335B">
        <w:t xml:space="preserve"> current section compares the demographic profile of the College’s District area to the demographic profile of the credit student population enrolled in 2014-2015. The district area data were </w:t>
      </w:r>
      <w:r w:rsidRPr="00B71792">
        <w:t>obtained</w:t>
      </w:r>
      <w:r w:rsidRPr="00EE335B">
        <w:t xml:space="preserve"> from the 2014 American Community Survey (the United States Census Bureau).</w:t>
      </w:r>
    </w:p>
    <w:p w14:paraId="6B19BC0C" w14:textId="77777777" w:rsidR="003F6D20" w:rsidRPr="00EE335B" w:rsidRDefault="003F6D20" w:rsidP="003D4C4D">
      <w:pPr>
        <w:pStyle w:val="Heading4"/>
      </w:pPr>
      <w:r w:rsidRPr="00EE335B">
        <w:t>Gender</w:t>
      </w:r>
    </w:p>
    <w:p w14:paraId="555015B7" w14:textId="7D6C60F2" w:rsidR="003F6D20" w:rsidRPr="00EE335B" w:rsidRDefault="003F6D20" w:rsidP="00B71792">
      <w:pPr>
        <w:pStyle w:val="Normalwithspacebetween"/>
      </w:pPr>
      <w:r w:rsidRPr="00EE335B">
        <w:t>The proportion of women in the total district area (52.1</w:t>
      </w:r>
      <w:r w:rsidR="00B5133B">
        <w:t xml:space="preserve"> percent</w:t>
      </w:r>
      <w:r w:rsidRPr="00EE335B">
        <w:t>) is similar to the proportion of women in the credit student population at Santa Monica College (52.9</w:t>
      </w:r>
      <w:r w:rsidR="00B5133B">
        <w:t xml:space="preserve"> percent</w:t>
      </w:r>
      <w:r w:rsidRPr="00EE335B">
        <w:t>).</w:t>
      </w:r>
    </w:p>
    <w:p w14:paraId="38D94DF6" w14:textId="77777777" w:rsidR="003F6D20" w:rsidRPr="00EE335B" w:rsidRDefault="003F6D20" w:rsidP="003F6D20">
      <w:pPr>
        <w:jc w:val="center"/>
        <w:rPr>
          <w:rFonts w:cs="Times New Roman"/>
          <w:sz w:val="20"/>
        </w:rPr>
      </w:pPr>
      <w:r w:rsidRPr="00EE335B">
        <w:rPr>
          <w:rFonts w:cs="Times New Roman"/>
          <w:sz w:val="20"/>
        </w:rPr>
        <w:lastRenderedPageBreak/>
        <w:t>Gender Distribution, 2014 District Area Population vs. SMC 2014-2015</w:t>
      </w:r>
    </w:p>
    <w:tbl>
      <w:tblPr>
        <w:tblStyle w:val="GridTable5Dark-Accent51"/>
        <w:tblW w:w="6936" w:type="dxa"/>
        <w:jc w:val="center"/>
        <w:tblLook w:val="04A0" w:firstRow="1" w:lastRow="0" w:firstColumn="1" w:lastColumn="0" w:noHBand="0" w:noVBand="1"/>
      </w:tblPr>
      <w:tblGrid>
        <w:gridCol w:w="2210"/>
        <w:gridCol w:w="2363"/>
        <w:gridCol w:w="2363"/>
      </w:tblGrid>
      <w:tr w:rsidR="003F6D20" w:rsidRPr="00EE335B" w14:paraId="51794797" w14:textId="77777777" w:rsidTr="00EE335B">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tcBorders>
          </w:tcPr>
          <w:p w14:paraId="0390B89A" w14:textId="77777777" w:rsidR="003F6D20" w:rsidRPr="00EE335B" w:rsidRDefault="003F6D20" w:rsidP="00EE335B">
            <w:pPr>
              <w:rPr>
                <w:rFonts w:cs="Times New Roman"/>
                <w:b w:val="0"/>
                <w:sz w:val="16"/>
              </w:rPr>
            </w:pPr>
          </w:p>
        </w:tc>
        <w:tc>
          <w:tcPr>
            <w:tcW w:w="2363" w:type="dxa"/>
            <w:tcBorders>
              <w:top w:val="nil"/>
              <w:bottom w:val="nil"/>
            </w:tcBorders>
          </w:tcPr>
          <w:p w14:paraId="6206A471"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Total District Area 2014</w:t>
            </w:r>
          </w:p>
          <w:p w14:paraId="33DF5B3E"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104,449)</w:t>
            </w:r>
          </w:p>
        </w:tc>
        <w:tc>
          <w:tcPr>
            <w:tcW w:w="2363" w:type="dxa"/>
            <w:tcBorders>
              <w:top w:val="nil"/>
              <w:bottom w:val="nil"/>
            </w:tcBorders>
          </w:tcPr>
          <w:p w14:paraId="1ABC2B59"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SMC 2014-2015</w:t>
            </w:r>
          </w:p>
          <w:p w14:paraId="3FD7B64C"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42,756)</w:t>
            </w:r>
          </w:p>
        </w:tc>
      </w:tr>
      <w:tr w:rsidR="003F6D20" w:rsidRPr="00EE335B" w14:paraId="0B944BCE" w14:textId="77777777" w:rsidTr="00EE335B">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210" w:type="dxa"/>
            <w:tcBorders>
              <w:top w:val="nil"/>
              <w:bottom w:val="single" w:sz="4" w:space="0" w:color="FFFFFF" w:themeColor="background1"/>
            </w:tcBorders>
            <w:shd w:val="clear" w:color="auto" w:fill="auto"/>
            <w:vAlign w:val="center"/>
          </w:tcPr>
          <w:p w14:paraId="34BC5EB9" w14:textId="77777777" w:rsidR="003F6D20" w:rsidRPr="00EE335B" w:rsidRDefault="003F6D20" w:rsidP="00EE335B">
            <w:pPr>
              <w:pStyle w:val="NoSpacing"/>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Female</w:t>
            </w:r>
          </w:p>
        </w:tc>
        <w:tc>
          <w:tcPr>
            <w:tcW w:w="2363" w:type="dxa"/>
            <w:tcBorders>
              <w:top w:val="nil"/>
            </w:tcBorders>
            <w:shd w:val="clear" w:color="auto" w:fill="FFFFFF" w:themeFill="background1"/>
            <w:vAlign w:val="center"/>
          </w:tcPr>
          <w:p w14:paraId="398AA424"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52.1%</w:t>
            </w:r>
          </w:p>
        </w:tc>
        <w:tc>
          <w:tcPr>
            <w:tcW w:w="2363" w:type="dxa"/>
            <w:tcBorders>
              <w:top w:val="nil"/>
            </w:tcBorders>
            <w:shd w:val="clear" w:color="auto" w:fill="FFFFFF" w:themeFill="background1"/>
            <w:vAlign w:val="center"/>
          </w:tcPr>
          <w:p w14:paraId="16C7D71E"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rPr>
              <w:t>52.9%</w:t>
            </w:r>
          </w:p>
        </w:tc>
      </w:tr>
      <w:tr w:rsidR="003F6D20" w:rsidRPr="00EE335B" w14:paraId="10576F67" w14:textId="77777777" w:rsidTr="00EE335B">
        <w:trPr>
          <w:trHeight w:val="311"/>
          <w:jc w:val="center"/>
        </w:trPr>
        <w:tc>
          <w:tcPr>
            <w:cnfStyle w:val="001000000000" w:firstRow="0" w:lastRow="0" w:firstColumn="1" w:lastColumn="0" w:oddVBand="0" w:evenVBand="0" w:oddHBand="0" w:evenHBand="0" w:firstRowFirstColumn="0" w:firstRowLastColumn="0" w:lastRowFirstColumn="0" w:lastRowLastColumn="0"/>
            <w:tcW w:w="2210" w:type="dxa"/>
            <w:tcBorders>
              <w:bottom w:val="single" w:sz="4" w:space="0" w:color="auto"/>
            </w:tcBorders>
            <w:shd w:val="clear" w:color="auto" w:fill="DAEEF3" w:themeFill="accent5" w:themeFillTint="33"/>
            <w:vAlign w:val="center"/>
          </w:tcPr>
          <w:p w14:paraId="532CD043" w14:textId="77777777" w:rsidR="003F6D20" w:rsidRPr="00EE335B" w:rsidRDefault="003F6D20" w:rsidP="00EE335B">
            <w:pPr>
              <w:pStyle w:val="NoSpacing"/>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Male</w:t>
            </w:r>
          </w:p>
        </w:tc>
        <w:tc>
          <w:tcPr>
            <w:tcW w:w="2363" w:type="dxa"/>
            <w:vAlign w:val="center"/>
          </w:tcPr>
          <w:p w14:paraId="793E7D8B"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47.9%</w:t>
            </w:r>
          </w:p>
        </w:tc>
        <w:tc>
          <w:tcPr>
            <w:tcW w:w="2363" w:type="dxa"/>
            <w:vAlign w:val="center"/>
          </w:tcPr>
          <w:p w14:paraId="6D632A37"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rPr>
              <w:t>47.1%</w:t>
            </w:r>
          </w:p>
        </w:tc>
      </w:tr>
      <w:tr w:rsidR="003F6D20" w:rsidRPr="00EE335B" w14:paraId="6846BB9D" w14:textId="77777777" w:rsidTr="00EE335B">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210" w:type="dxa"/>
            <w:tcBorders>
              <w:top w:val="single" w:sz="4" w:space="0" w:color="auto"/>
              <w:bottom w:val="single" w:sz="4" w:space="0" w:color="auto"/>
            </w:tcBorders>
            <w:shd w:val="clear" w:color="auto" w:fill="FFFFFF" w:themeFill="background1"/>
            <w:vAlign w:val="center"/>
          </w:tcPr>
          <w:p w14:paraId="055979CB" w14:textId="77777777" w:rsidR="003F6D20" w:rsidRPr="00EE335B" w:rsidRDefault="003F6D20" w:rsidP="00EE335B">
            <w:pPr>
              <w:rPr>
                <w:rFonts w:cs="Times New Roman"/>
                <w:b w:val="0"/>
                <w:color w:val="215868" w:themeColor="accent5" w:themeShade="80"/>
                <w:sz w:val="14"/>
              </w:rPr>
            </w:pPr>
            <w:r w:rsidRPr="00EE335B">
              <w:rPr>
                <w:rFonts w:cs="Times New Roman"/>
                <w:b w:val="0"/>
                <w:color w:val="215868" w:themeColor="accent5" w:themeShade="80"/>
                <w:sz w:val="14"/>
              </w:rPr>
              <w:t>Total</w:t>
            </w:r>
          </w:p>
        </w:tc>
        <w:tc>
          <w:tcPr>
            <w:tcW w:w="2363" w:type="dxa"/>
            <w:tcBorders>
              <w:top w:val="single" w:sz="4" w:space="0" w:color="auto"/>
              <w:bottom w:val="single" w:sz="4" w:space="0" w:color="auto"/>
            </w:tcBorders>
            <w:shd w:val="clear" w:color="auto" w:fill="FFFFFF" w:themeFill="background1"/>
            <w:vAlign w:val="center"/>
          </w:tcPr>
          <w:p w14:paraId="54A21D23"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2363" w:type="dxa"/>
            <w:tcBorders>
              <w:top w:val="single" w:sz="4" w:space="0" w:color="auto"/>
              <w:bottom w:val="single" w:sz="4" w:space="0" w:color="auto"/>
            </w:tcBorders>
            <w:shd w:val="clear" w:color="auto" w:fill="FFFFFF" w:themeFill="background1"/>
            <w:vAlign w:val="center"/>
          </w:tcPr>
          <w:p w14:paraId="6A44B0FD"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r>
    </w:tbl>
    <w:p w14:paraId="7C9870D7" w14:textId="77777777" w:rsidR="003F6D20" w:rsidRDefault="003F6D20" w:rsidP="003F6D20">
      <w:pPr>
        <w:rPr>
          <w:rFonts w:cs="Times New Roman"/>
          <w:i/>
          <w:sz w:val="14"/>
        </w:rPr>
      </w:pPr>
      <w:r w:rsidRPr="00EE335B">
        <w:rPr>
          <w:rFonts w:cs="Times New Roman"/>
          <w:i/>
          <w:sz w:val="14"/>
        </w:rPr>
        <w:t xml:space="preserve">Source: District area data were obtained from the 2014 American Community Survey (Census); the college student data were obtained from the Management Information System (MIS) </w:t>
      </w:r>
    </w:p>
    <w:p w14:paraId="07BFE6BE" w14:textId="77777777" w:rsidR="001C65FC" w:rsidRPr="00EE335B" w:rsidRDefault="001C65FC" w:rsidP="003F6D20">
      <w:pPr>
        <w:rPr>
          <w:rFonts w:cs="Times New Roman"/>
          <w:i/>
          <w:sz w:val="14"/>
        </w:rPr>
      </w:pPr>
    </w:p>
    <w:p w14:paraId="1D89A3CB" w14:textId="77777777" w:rsidR="003F6D20" w:rsidRPr="00EE335B" w:rsidRDefault="003F6D20" w:rsidP="003D4C4D">
      <w:pPr>
        <w:pStyle w:val="Heading4"/>
      </w:pPr>
      <w:r w:rsidRPr="00EE335B">
        <w:t>Ethnicity/Race</w:t>
      </w:r>
    </w:p>
    <w:p w14:paraId="445D6402" w14:textId="4D1AC642" w:rsidR="003F6D20" w:rsidRPr="00EE335B" w:rsidRDefault="003F6D20" w:rsidP="00B71792">
      <w:pPr>
        <w:pStyle w:val="Normalwithspacebetween"/>
      </w:pPr>
      <w:r w:rsidRPr="00EE335B">
        <w:t xml:space="preserve">When compared to the district area population, Santa Monica College enrolls disproportionately more students in all of the non-white ethnicity/race groups. The Asian/Pacific </w:t>
      </w:r>
      <w:r w:rsidRPr="00B71792">
        <w:t>Islander</w:t>
      </w:r>
      <w:r w:rsidRPr="00EE335B">
        <w:t xml:space="preserve"> group is overrepresented in the credit </w:t>
      </w:r>
      <w:r w:rsidR="001C0BCD">
        <w:t xml:space="preserve">student </w:t>
      </w:r>
      <w:r w:rsidRPr="00EE335B">
        <w:t>population by 5.6</w:t>
      </w:r>
      <w:r w:rsidR="00B5133B">
        <w:t xml:space="preserve"> percent</w:t>
      </w:r>
      <w:r w:rsidRPr="00EE335B">
        <w:t>, the Black group by 6.1</w:t>
      </w:r>
      <w:r w:rsidR="00B5133B">
        <w:t xml:space="preserve"> percent</w:t>
      </w:r>
      <w:r w:rsidRPr="00EE335B">
        <w:t>, and the Hispanic group by 23.0</w:t>
      </w:r>
      <w:r w:rsidR="00B5133B">
        <w:t xml:space="preserve"> percent</w:t>
      </w:r>
      <w:r w:rsidRPr="00EE335B">
        <w:t>, when compared to the district area population.</w:t>
      </w:r>
    </w:p>
    <w:p w14:paraId="4DD28295" w14:textId="77777777" w:rsidR="003F6D20" w:rsidRPr="00EE335B" w:rsidRDefault="003F6D20" w:rsidP="003F6D20">
      <w:pPr>
        <w:pStyle w:val="NoSpacing"/>
        <w:rPr>
          <w:rFonts w:ascii="Times New Roman" w:hAnsi="Times New Roman" w:cs="Times New Roman"/>
        </w:rPr>
      </w:pPr>
    </w:p>
    <w:p w14:paraId="1FE87083" w14:textId="77777777" w:rsidR="003F6D20" w:rsidRPr="00EE335B" w:rsidRDefault="003F6D20" w:rsidP="003F6D20">
      <w:pPr>
        <w:jc w:val="center"/>
        <w:rPr>
          <w:rFonts w:cs="Times New Roman"/>
          <w:sz w:val="20"/>
        </w:rPr>
      </w:pPr>
      <w:r w:rsidRPr="00EE335B">
        <w:rPr>
          <w:rFonts w:cs="Times New Roman"/>
          <w:sz w:val="20"/>
        </w:rPr>
        <w:t>Ethnicity/Race Distribution, 2014 District Area Population vs. SMC 2014-2015</w:t>
      </w:r>
    </w:p>
    <w:tbl>
      <w:tblPr>
        <w:tblStyle w:val="GridTable5Dark-Accent51"/>
        <w:tblW w:w="6936" w:type="dxa"/>
        <w:jc w:val="center"/>
        <w:tblLook w:val="04A0" w:firstRow="1" w:lastRow="0" w:firstColumn="1" w:lastColumn="0" w:noHBand="0" w:noVBand="1"/>
      </w:tblPr>
      <w:tblGrid>
        <w:gridCol w:w="2210"/>
        <w:gridCol w:w="2363"/>
        <w:gridCol w:w="2363"/>
      </w:tblGrid>
      <w:tr w:rsidR="003F6D20" w:rsidRPr="00EE335B" w14:paraId="6DA114DA" w14:textId="77777777" w:rsidTr="00EE335B">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tcBorders>
          </w:tcPr>
          <w:p w14:paraId="33311806" w14:textId="77777777" w:rsidR="003F6D20" w:rsidRPr="00EE335B" w:rsidRDefault="003F6D20" w:rsidP="00EE335B">
            <w:pPr>
              <w:rPr>
                <w:rFonts w:cs="Times New Roman"/>
                <w:b w:val="0"/>
                <w:sz w:val="16"/>
              </w:rPr>
            </w:pPr>
          </w:p>
        </w:tc>
        <w:tc>
          <w:tcPr>
            <w:tcW w:w="2363" w:type="dxa"/>
            <w:tcBorders>
              <w:top w:val="nil"/>
              <w:bottom w:val="nil"/>
            </w:tcBorders>
          </w:tcPr>
          <w:p w14:paraId="7D736E20"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Total District Area 2014</w:t>
            </w:r>
          </w:p>
          <w:p w14:paraId="5054BA8F"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104,449)</w:t>
            </w:r>
          </w:p>
        </w:tc>
        <w:tc>
          <w:tcPr>
            <w:tcW w:w="2363" w:type="dxa"/>
            <w:tcBorders>
              <w:top w:val="nil"/>
              <w:bottom w:val="nil"/>
            </w:tcBorders>
          </w:tcPr>
          <w:p w14:paraId="5D85E061"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SMC 2014-2015</w:t>
            </w:r>
          </w:p>
          <w:p w14:paraId="73FDE0AC"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42,756)</w:t>
            </w:r>
          </w:p>
        </w:tc>
      </w:tr>
      <w:tr w:rsidR="003F6D20" w:rsidRPr="00EE335B" w14:paraId="6D8034A8" w14:textId="77777777" w:rsidTr="00EE335B">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210" w:type="dxa"/>
            <w:tcBorders>
              <w:top w:val="nil"/>
              <w:bottom w:val="nil"/>
            </w:tcBorders>
            <w:shd w:val="clear" w:color="auto" w:fill="auto"/>
            <w:vAlign w:val="center"/>
          </w:tcPr>
          <w:p w14:paraId="57A9DE76" w14:textId="77777777" w:rsidR="003F6D20" w:rsidRPr="00EE335B" w:rsidRDefault="003F6D20" w:rsidP="00EE335B">
            <w:pPr>
              <w:pStyle w:val="NoSpacing"/>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Asian/Pacific Islander</w:t>
            </w:r>
          </w:p>
        </w:tc>
        <w:tc>
          <w:tcPr>
            <w:tcW w:w="2363" w:type="dxa"/>
            <w:tcBorders>
              <w:top w:val="nil"/>
              <w:bottom w:val="nil"/>
            </w:tcBorders>
            <w:shd w:val="clear" w:color="auto" w:fill="FFFFFF" w:themeFill="background1"/>
            <w:vAlign w:val="center"/>
          </w:tcPr>
          <w:p w14:paraId="2AC84B08"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9.0%</w:t>
            </w:r>
          </w:p>
        </w:tc>
        <w:tc>
          <w:tcPr>
            <w:tcW w:w="2363" w:type="dxa"/>
            <w:tcBorders>
              <w:top w:val="nil"/>
              <w:bottom w:val="nil"/>
            </w:tcBorders>
            <w:shd w:val="clear" w:color="auto" w:fill="FFFFFF" w:themeFill="background1"/>
            <w:vAlign w:val="center"/>
          </w:tcPr>
          <w:p w14:paraId="60F3368A"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rPr>
              <w:t>14.6%</w:t>
            </w:r>
          </w:p>
        </w:tc>
      </w:tr>
      <w:tr w:rsidR="003F6D20" w:rsidRPr="00EE335B" w14:paraId="188C3617" w14:textId="77777777" w:rsidTr="00EE335B">
        <w:trPr>
          <w:trHeight w:val="311"/>
          <w:jc w:val="center"/>
        </w:trPr>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shd w:val="clear" w:color="auto" w:fill="DAEEF3" w:themeFill="accent5" w:themeFillTint="33"/>
            <w:vAlign w:val="center"/>
          </w:tcPr>
          <w:p w14:paraId="6A70F9C7" w14:textId="77777777" w:rsidR="003F6D20" w:rsidRPr="00EE335B" w:rsidRDefault="003F6D20" w:rsidP="00EE335B">
            <w:pPr>
              <w:pStyle w:val="NoSpacing"/>
              <w:rPr>
                <w:rFonts w:ascii="Times New Roman" w:hAnsi="Times New Roman" w:cs="Times New Roman"/>
                <w:b w:val="0"/>
                <w:sz w:val="14"/>
                <w:szCs w:val="14"/>
              </w:rPr>
            </w:pPr>
            <w:r w:rsidRPr="00EE335B">
              <w:rPr>
                <w:rFonts w:ascii="Times New Roman" w:hAnsi="Times New Roman" w:cs="Times New Roman"/>
                <w:b w:val="0"/>
                <w:color w:val="auto"/>
                <w:sz w:val="14"/>
                <w:szCs w:val="14"/>
              </w:rPr>
              <w:t>Black</w:t>
            </w:r>
          </w:p>
        </w:tc>
        <w:tc>
          <w:tcPr>
            <w:tcW w:w="2363" w:type="dxa"/>
            <w:tcBorders>
              <w:top w:val="nil"/>
              <w:left w:val="nil"/>
              <w:bottom w:val="nil"/>
              <w:right w:val="nil"/>
            </w:tcBorders>
            <w:vAlign w:val="center"/>
          </w:tcPr>
          <w:p w14:paraId="0B2B451A"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3.6%</w:t>
            </w:r>
          </w:p>
        </w:tc>
        <w:tc>
          <w:tcPr>
            <w:tcW w:w="2363" w:type="dxa"/>
            <w:tcBorders>
              <w:top w:val="nil"/>
              <w:left w:val="nil"/>
              <w:bottom w:val="nil"/>
              <w:right w:val="nil"/>
            </w:tcBorders>
            <w:vAlign w:val="center"/>
          </w:tcPr>
          <w:p w14:paraId="1606A8F3"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9.7%</w:t>
            </w:r>
          </w:p>
        </w:tc>
      </w:tr>
      <w:tr w:rsidR="003F6D20" w:rsidRPr="00EE335B" w14:paraId="63872EDA" w14:textId="77777777" w:rsidTr="00EE335B">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shd w:val="clear" w:color="auto" w:fill="auto"/>
            <w:vAlign w:val="center"/>
          </w:tcPr>
          <w:p w14:paraId="5603D297" w14:textId="77777777" w:rsidR="003F6D20" w:rsidRPr="00EE335B" w:rsidRDefault="003F6D20" w:rsidP="00EE335B">
            <w:pPr>
              <w:pStyle w:val="NoSpacing"/>
              <w:rPr>
                <w:rFonts w:ascii="Times New Roman" w:hAnsi="Times New Roman" w:cs="Times New Roman"/>
                <w:b w:val="0"/>
                <w:sz w:val="14"/>
                <w:szCs w:val="14"/>
              </w:rPr>
            </w:pPr>
            <w:r w:rsidRPr="00EE335B">
              <w:rPr>
                <w:rFonts w:ascii="Times New Roman" w:hAnsi="Times New Roman" w:cs="Times New Roman"/>
                <w:b w:val="0"/>
                <w:color w:val="auto"/>
                <w:sz w:val="14"/>
                <w:szCs w:val="14"/>
              </w:rPr>
              <w:t>Hispanic</w:t>
            </w:r>
          </w:p>
        </w:tc>
        <w:tc>
          <w:tcPr>
            <w:tcW w:w="2363" w:type="dxa"/>
            <w:tcBorders>
              <w:top w:val="nil"/>
              <w:left w:val="nil"/>
              <w:bottom w:val="nil"/>
              <w:right w:val="nil"/>
            </w:tcBorders>
            <w:shd w:val="clear" w:color="auto" w:fill="FFFFFF" w:themeFill="background1"/>
            <w:vAlign w:val="center"/>
          </w:tcPr>
          <w:p w14:paraId="6BB2DA92"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13.7%</w:t>
            </w:r>
          </w:p>
        </w:tc>
        <w:tc>
          <w:tcPr>
            <w:tcW w:w="2363" w:type="dxa"/>
            <w:tcBorders>
              <w:top w:val="nil"/>
              <w:left w:val="nil"/>
              <w:bottom w:val="nil"/>
              <w:right w:val="nil"/>
            </w:tcBorders>
            <w:shd w:val="clear" w:color="auto" w:fill="FFFFFF" w:themeFill="background1"/>
            <w:vAlign w:val="center"/>
          </w:tcPr>
          <w:p w14:paraId="47780C93"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36.7%</w:t>
            </w:r>
          </w:p>
        </w:tc>
      </w:tr>
      <w:tr w:rsidR="003F6D20" w:rsidRPr="00EE335B" w14:paraId="697FB977" w14:textId="77777777" w:rsidTr="00EE335B">
        <w:trPr>
          <w:trHeight w:val="311"/>
          <w:jc w:val="center"/>
        </w:trPr>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shd w:val="clear" w:color="auto" w:fill="DAEEF3" w:themeFill="accent5" w:themeFillTint="33"/>
            <w:vAlign w:val="center"/>
          </w:tcPr>
          <w:p w14:paraId="541D5E06" w14:textId="77777777" w:rsidR="003F6D20" w:rsidRPr="00EE335B" w:rsidRDefault="003F6D20" w:rsidP="00EE335B">
            <w:pPr>
              <w:pStyle w:val="NoSpacing"/>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Native American</w:t>
            </w:r>
          </w:p>
        </w:tc>
        <w:tc>
          <w:tcPr>
            <w:tcW w:w="2363" w:type="dxa"/>
            <w:tcBorders>
              <w:top w:val="nil"/>
              <w:left w:val="nil"/>
              <w:bottom w:val="nil"/>
              <w:right w:val="nil"/>
            </w:tcBorders>
            <w:vAlign w:val="center"/>
          </w:tcPr>
          <w:p w14:paraId="05ACFD8D"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0.0%</w:t>
            </w:r>
          </w:p>
        </w:tc>
        <w:tc>
          <w:tcPr>
            <w:tcW w:w="2363" w:type="dxa"/>
            <w:tcBorders>
              <w:top w:val="nil"/>
              <w:left w:val="nil"/>
              <w:bottom w:val="nil"/>
              <w:right w:val="nil"/>
            </w:tcBorders>
            <w:vAlign w:val="center"/>
          </w:tcPr>
          <w:p w14:paraId="5887B6E1"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rPr>
              <w:t>0.2%</w:t>
            </w:r>
          </w:p>
        </w:tc>
      </w:tr>
      <w:tr w:rsidR="003F6D20" w:rsidRPr="00EE335B" w14:paraId="28A63F3C" w14:textId="77777777" w:rsidTr="00EE335B">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shd w:val="clear" w:color="auto" w:fill="auto"/>
            <w:vAlign w:val="center"/>
          </w:tcPr>
          <w:p w14:paraId="63FB015D" w14:textId="77777777" w:rsidR="003F6D20" w:rsidRPr="00EE335B" w:rsidRDefault="003F6D20" w:rsidP="00EE335B">
            <w:pPr>
              <w:pStyle w:val="NoSpacing"/>
              <w:rPr>
                <w:rFonts w:ascii="Times New Roman" w:hAnsi="Times New Roman" w:cs="Times New Roman"/>
                <w:b w:val="0"/>
                <w:sz w:val="14"/>
                <w:szCs w:val="14"/>
              </w:rPr>
            </w:pPr>
            <w:r w:rsidRPr="00EE335B">
              <w:rPr>
                <w:rFonts w:ascii="Times New Roman" w:hAnsi="Times New Roman" w:cs="Times New Roman"/>
                <w:b w:val="0"/>
                <w:color w:val="auto"/>
                <w:sz w:val="14"/>
                <w:szCs w:val="14"/>
              </w:rPr>
              <w:t>Other</w:t>
            </w:r>
          </w:p>
        </w:tc>
        <w:tc>
          <w:tcPr>
            <w:tcW w:w="2363" w:type="dxa"/>
            <w:tcBorders>
              <w:top w:val="nil"/>
              <w:left w:val="nil"/>
              <w:bottom w:val="nil"/>
              <w:right w:val="nil"/>
            </w:tcBorders>
            <w:shd w:val="clear" w:color="auto" w:fill="auto"/>
            <w:vAlign w:val="center"/>
          </w:tcPr>
          <w:p w14:paraId="2F7045A5"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0.2%</w:t>
            </w:r>
          </w:p>
        </w:tc>
        <w:tc>
          <w:tcPr>
            <w:tcW w:w="2363" w:type="dxa"/>
            <w:tcBorders>
              <w:top w:val="nil"/>
              <w:left w:val="nil"/>
              <w:bottom w:val="nil"/>
              <w:right w:val="nil"/>
            </w:tcBorders>
            <w:shd w:val="clear" w:color="auto" w:fill="auto"/>
            <w:vAlign w:val="center"/>
          </w:tcPr>
          <w:p w14:paraId="012CA443"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NA</w:t>
            </w:r>
          </w:p>
        </w:tc>
      </w:tr>
      <w:tr w:rsidR="003F6D20" w:rsidRPr="00EE335B" w14:paraId="29100BFF" w14:textId="77777777" w:rsidTr="00EE335B">
        <w:trPr>
          <w:trHeight w:val="311"/>
          <w:jc w:val="center"/>
        </w:trPr>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shd w:val="clear" w:color="auto" w:fill="DAEEF3" w:themeFill="accent5" w:themeFillTint="33"/>
            <w:vAlign w:val="center"/>
          </w:tcPr>
          <w:p w14:paraId="0CD4B0AD" w14:textId="77777777" w:rsidR="003F6D20" w:rsidRPr="00EE335B" w:rsidRDefault="003F6D20" w:rsidP="00EE335B">
            <w:pPr>
              <w:pStyle w:val="NoSpacing"/>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Two or More Race</w:t>
            </w:r>
          </w:p>
        </w:tc>
        <w:tc>
          <w:tcPr>
            <w:tcW w:w="2363" w:type="dxa"/>
            <w:tcBorders>
              <w:top w:val="nil"/>
              <w:left w:val="nil"/>
              <w:bottom w:val="nil"/>
              <w:right w:val="nil"/>
            </w:tcBorders>
            <w:vAlign w:val="center"/>
          </w:tcPr>
          <w:p w14:paraId="568A8D96"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3.6%</w:t>
            </w:r>
          </w:p>
        </w:tc>
        <w:tc>
          <w:tcPr>
            <w:tcW w:w="2363" w:type="dxa"/>
            <w:tcBorders>
              <w:top w:val="nil"/>
              <w:left w:val="nil"/>
              <w:bottom w:val="nil"/>
              <w:right w:val="nil"/>
            </w:tcBorders>
            <w:vAlign w:val="center"/>
          </w:tcPr>
          <w:p w14:paraId="1C66A68C"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4.1%</w:t>
            </w:r>
          </w:p>
        </w:tc>
      </w:tr>
      <w:tr w:rsidR="003F6D20" w:rsidRPr="00EE335B" w14:paraId="43F7BF07" w14:textId="77777777" w:rsidTr="00EE335B">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shd w:val="clear" w:color="auto" w:fill="auto"/>
            <w:vAlign w:val="center"/>
          </w:tcPr>
          <w:p w14:paraId="67A905E2" w14:textId="77777777" w:rsidR="003F6D20" w:rsidRPr="00EE335B" w:rsidRDefault="003F6D20" w:rsidP="00EE335B">
            <w:pPr>
              <w:pStyle w:val="NoSpacing"/>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White</w:t>
            </w:r>
          </w:p>
        </w:tc>
        <w:tc>
          <w:tcPr>
            <w:tcW w:w="2363" w:type="dxa"/>
            <w:tcBorders>
              <w:top w:val="nil"/>
              <w:left w:val="nil"/>
              <w:bottom w:val="nil"/>
              <w:right w:val="nil"/>
            </w:tcBorders>
            <w:shd w:val="clear" w:color="auto" w:fill="auto"/>
            <w:vAlign w:val="center"/>
          </w:tcPr>
          <w:p w14:paraId="5A539D8B"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69.9%</w:t>
            </w:r>
          </w:p>
        </w:tc>
        <w:tc>
          <w:tcPr>
            <w:tcW w:w="2363" w:type="dxa"/>
            <w:tcBorders>
              <w:top w:val="nil"/>
              <w:left w:val="nil"/>
              <w:bottom w:val="nil"/>
              <w:right w:val="nil"/>
            </w:tcBorders>
            <w:shd w:val="clear" w:color="auto" w:fill="auto"/>
            <w:vAlign w:val="center"/>
          </w:tcPr>
          <w:p w14:paraId="54CFD3A8"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28.4%</w:t>
            </w:r>
          </w:p>
        </w:tc>
      </w:tr>
      <w:tr w:rsidR="003F6D20" w:rsidRPr="00EE335B" w14:paraId="45BEA242" w14:textId="77777777" w:rsidTr="00EE335B">
        <w:trPr>
          <w:trHeight w:val="311"/>
          <w:jc w:val="center"/>
        </w:trPr>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single" w:sz="4" w:space="0" w:color="auto"/>
              <w:right w:val="nil"/>
            </w:tcBorders>
            <w:shd w:val="clear" w:color="auto" w:fill="DAEEF3" w:themeFill="accent5" w:themeFillTint="33"/>
            <w:vAlign w:val="center"/>
          </w:tcPr>
          <w:p w14:paraId="12685812" w14:textId="77777777" w:rsidR="003F6D20" w:rsidRPr="00EE335B" w:rsidRDefault="003F6D20" w:rsidP="00EE335B">
            <w:pPr>
              <w:pStyle w:val="NoSpacing"/>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Unreported</w:t>
            </w:r>
          </w:p>
        </w:tc>
        <w:tc>
          <w:tcPr>
            <w:tcW w:w="2363" w:type="dxa"/>
            <w:tcBorders>
              <w:top w:val="nil"/>
              <w:left w:val="nil"/>
              <w:bottom w:val="single" w:sz="4" w:space="0" w:color="auto"/>
              <w:right w:val="nil"/>
            </w:tcBorders>
            <w:vAlign w:val="center"/>
          </w:tcPr>
          <w:p w14:paraId="48076CED"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NA</w:t>
            </w:r>
          </w:p>
        </w:tc>
        <w:tc>
          <w:tcPr>
            <w:tcW w:w="2363" w:type="dxa"/>
            <w:tcBorders>
              <w:top w:val="nil"/>
              <w:left w:val="nil"/>
              <w:bottom w:val="single" w:sz="4" w:space="0" w:color="auto"/>
              <w:right w:val="nil"/>
            </w:tcBorders>
            <w:vAlign w:val="center"/>
          </w:tcPr>
          <w:p w14:paraId="5FEA9763"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6.3%</w:t>
            </w:r>
          </w:p>
        </w:tc>
      </w:tr>
      <w:tr w:rsidR="003F6D20" w:rsidRPr="00EE335B" w14:paraId="6623D55F" w14:textId="77777777" w:rsidTr="00EE335B">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210" w:type="dxa"/>
            <w:tcBorders>
              <w:top w:val="single" w:sz="4" w:space="0" w:color="auto"/>
              <w:bottom w:val="single" w:sz="4" w:space="0" w:color="auto"/>
            </w:tcBorders>
            <w:shd w:val="clear" w:color="auto" w:fill="FFFFFF" w:themeFill="background1"/>
            <w:vAlign w:val="center"/>
          </w:tcPr>
          <w:p w14:paraId="3D638A07" w14:textId="77777777" w:rsidR="003F6D20" w:rsidRPr="00EE335B" w:rsidRDefault="003F6D20" w:rsidP="00EE335B">
            <w:pPr>
              <w:rPr>
                <w:rFonts w:cs="Times New Roman"/>
                <w:b w:val="0"/>
                <w:color w:val="215868" w:themeColor="accent5" w:themeShade="80"/>
                <w:sz w:val="14"/>
              </w:rPr>
            </w:pPr>
            <w:r w:rsidRPr="00EE335B">
              <w:rPr>
                <w:rFonts w:cs="Times New Roman"/>
                <w:b w:val="0"/>
                <w:color w:val="215868" w:themeColor="accent5" w:themeShade="80"/>
                <w:sz w:val="14"/>
              </w:rPr>
              <w:t>Total</w:t>
            </w:r>
          </w:p>
        </w:tc>
        <w:tc>
          <w:tcPr>
            <w:tcW w:w="2363" w:type="dxa"/>
            <w:tcBorders>
              <w:top w:val="single" w:sz="4" w:space="0" w:color="auto"/>
              <w:bottom w:val="single" w:sz="4" w:space="0" w:color="auto"/>
            </w:tcBorders>
            <w:shd w:val="clear" w:color="auto" w:fill="FFFFFF" w:themeFill="background1"/>
            <w:vAlign w:val="center"/>
          </w:tcPr>
          <w:p w14:paraId="2EB31665"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2363" w:type="dxa"/>
            <w:tcBorders>
              <w:top w:val="single" w:sz="4" w:space="0" w:color="auto"/>
              <w:bottom w:val="single" w:sz="4" w:space="0" w:color="auto"/>
            </w:tcBorders>
            <w:shd w:val="clear" w:color="auto" w:fill="FFFFFF" w:themeFill="background1"/>
            <w:vAlign w:val="center"/>
          </w:tcPr>
          <w:p w14:paraId="276EF117"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r>
    </w:tbl>
    <w:p w14:paraId="07BD8B6F" w14:textId="77777777" w:rsidR="003F6D20" w:rsidRDefault="003F6D20" w:rsidP="003F6D20">
      <w:pPr>
        <w:rPr>
          <w:rFonts w:cs="Times New Roman"/>
          <w:i/>
          <w:sz w:val="14"/>
        </w:rPr>
      </w:pPr>
      <w:r w:rsidRPr="00EE335B">
        <w:rPr>
          <w:rFonts w:cs="Times New Roman"/>
          <w:i/>
          <w:sz w:val="14"/>
        </w:rPr>
        <w:t xml:space="preserve">Source: District area data were obtained from the 2014 American Community Survey (Census); the college student data were obtained from the Management Information System (MIS) </w:t>
      </w:r>
    </w:p>
    <w:p w14:paraId="770367A1" w14:textId="77777777" w:rsidR="001C65FC" w:rsidRPr="00EE335B" w:rsidRDefault="001C65FC" w:rsidP="003F6D20">
      <w:pPr>
        <w:rPr>
          <w:rFonts w:cs="Times New Roman"/>
          <w:i/>
          <w:sz w:val="14"/>
        </w:rPr>
      </w:pPr>
    </w:p>
    <w:p w14:paraId="6803ADFC" w14:textId="703687C4" w:rsidR="001C65FC" w:rsidRPr="001C65FC" w:rsidRDefault="003F6D20" w:rsidP="001C65FC">
      <w:pPr>
        <w:pStyle w:val="Heading4"/>
      </w:pPr>
      <w:r w:rsidRPr="00EE335B">
        <w:t>Age Group</w:t>
      </w:r>
    </w:p>
    <w:p w14:paraId="1FB8C542" w14:textId="6D58AD1C" w:rsidR="003F6D20" w:rsidRPr="00EE335B" w:rsidRDefault="003F6D20" w:rsidP="00B71792">
      <w:pPr>
        <w:pStyle w:val="Normalwithspacebetween"/>
      </w:pPr>
      <w:r w:rsidRPr="00EE335B">
        <w:t>Disproportionately more of Santa Monica College’s credit student population belong to the youngest age groups when compared to the district area population.  Students in the “under 20”, 20 to 24, and 25-34 age groups claimed higher proportions of the credit population than they did among the population within the College’s district area (with respective differences of 12.6</w:t>
      </w:r>
      <w:r w:rsidR="00B5133B">
        <w:t xml:space="preserve"> percent</w:t>
      </w:r>
      <w:r w:rsidRPr="00EE335B">
        <w:t>, 35.2</w:t>
      </w:r>
      <w:r w:rsidR="00B5133B">
        <w:t xml:space="preserve"> percent</w:t>
      </w:r>
      <w:r w:rsidRPr="00EE335B">
        <w:t>, and 2.3</w:t>
      </w:r>
      <w:r w:rsidR="00B5133B">
        <w:t xml:space="preserve"> percent</w:t>
      </w:r>
      <w:r w:rsidRPr="00EE335B">
        <w:t>).</w:t>
      </w:r>
    </w:p>
    <w:p w14:paraId="1B4064CC" w14:textId="77777777" w:rsidR="003F6D20" w:rsidRPr="00EE335B" w:rsidRDefault="003F6D20" w:rsidP="007C3E4E">
      <w:pPr>
        <w:keepNext/>
        <w:keepLines/>
        <w:jc w:val="center"/>
        <w:rPr>
          <w:rFonts w:cs="Times New Roman"/>
          <w:sz w:val="20"/>
        </w:rPr>
      </w:pPr>
      <w:r w:rsidRPr="00EE335B">
        <w:rPr>
          <w:rFonts w:cs="Times New Roman"/>
          <w:sz w:val="20"/>
        </w:rPr>
        <w:lastRenderedPageBreak/>
        <w:t>Age Group Distribution, 2014 District Area Population vs. SMC 2014-2015</w:t>
      </w:r>
    </w:p>
    <w:tbl>
      <w:tblPr>
        <w:tblStyle w:val="GridTable5Dark-Accent51"/>
        <w:tblW w:w="6936" w:type="dxa"/>
        <w:jc w:val="center"/>
        <w:tblLook w:val="04A0" w:firstRow="1" w:lastRow="0" w:firstColumn="1" w:lastColumn="0" w:noHBand="0" w:noVBand="1"/>
      </w:tblPr>
      <w:tblGrid>
        <w:gridCol w:w="2210"/>
        <w:gridCol w:w="2363"/>
        <w:gridCol w:w="2363"/>
      </w:tblGrid>
      <w:tr w:rsidR="003F6D20" w:rsidRPr="00EE335B" w14:paraId="4F22D0FF" w14:textId="77777777" w:rsidTr="00EE335B">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tcBorders>
          </w:tcPr>
          <w:p w14:paraId="1067947E" w14:textId="77777777" w:rsidR="003F6D20" w:rsidRPr="00EE335B" w:rsidRDefault="003F6D20" w:rsidP="007C3E4E">
            <w:pPr>
              <w:keepNext/>
              <w:keepLines/>
              <w:rPr>
                <w:rFonts w:cs="Times New Roman"/>
                <w:b w:val="0"/>
                <w:sz w:val="16"/>
              </w:rPr>
            </w:pPr>
          </w:p>
        </w:tc>
        <w:tc>
          <w:tcPr>
            <w:tcW w:w="2363" w:type="dxa"/>
            <w:tcBorders>
              <w:top w:val="nil"/>
              <w:bottom w:val="nil"/>
            </w:tcBorders>
          </w:tcPr>
          <w:p w14:paraId="70B869F5" w14:textId="77777777" w:rsidR="003F6D20" w:rsidRPr="00EE335B" w:rsidRDefault="003F6D20" w:rsidP="007C3E4E">
            <w:pPr>
              <w:pStyle w:val="NoSpacing"/>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Total District Area 2014</w:t>
            </w:r>
          </w:p>
          <w:p w14:paraId="6DC5C114" w14:textId="77777777" w:rsidR="003F6D20" w:rsidRPr="00EE335B" w:rsidRDefault="003F6D20" w:rsidP="007C3E4E">
            <w:pPr>
              <w:pStyle w:val="NoSpacing"/>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104,449)</w:t>
            </w:r>
          </w:p>
        </w:tc>
        <w:tc>
          <w:tcPr>
            <w:tcW w:w="2363" w:type="dxa"/>
            <w:tcBorders>
              <w:top w:val="nil"/>
              <w:bottom w:val="nil"/>
            </w:tcBorders>
          </w:tcPr>
          <w:p w14:paraId="568D1DD1" w14:textId="77777777" w:rsidR="003F6D20" w:rsidRPr="00EE335B" w:rsidRDefault="003F6D20" w:rsidP="007C3E4E">
            <w:pPr>
              <w:pStyle w:val="NoSpacing"/>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SMC 2014-2015</w:t>
            </w:r>
          </w:p>
          <w:p w14:paraId="7EBDB702" w14:textId="77777777" w:rsidR="003F6D20" w:rsidRPr="00EE335B" w:rsidRDefault="003F6D20" w:rsidP="007C3E4E">
            <w:pPr>
              <w:pStyle w:val="NoSpacing"/>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(N = 42,756)</w:t>
            </w:r>
          </w:p>
        </w:tc>
      </w:tr>
      <w:tr w:rsidR="003F6D20" w:rsidRPr="00EE335B" w14:paraId="20F015A7" w14:textId="77777777" w:rsidTr="00EE335B">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210" w:type="dxa"/>
            <w:tcBorders>
              <w:top w:val="nil"/>
              <w:bottom w:val="nil"/>
            </w:tcBorders>
            <w:shd w:val="clear" w:color="auto" w:fill="auto"/>
            <w:vAlign w:val="center"/>
          </w:tcPr>
          <w:p w14:paraId="05B8977D" w14:textId="77777777" w:rsidR="003F6D20" w:rsidRPr="00EE335B" w:rsidRDefault="003F6D20" w:rsidP="007C3E4E">
            <w:pPr>
              <w:pStyle w:val="NoSpacing"/>
              <w:keepNext/>
              <w:keepLines/>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Under 20</w:t>
            </w:r>
          </w:p>
        </w:tc>
        <w:tc>
          <w:tcPr>
            <w:tcW w:w="2363" w:type="dxa"/>
            <w:tcBorders>
              <w:top w:val="nil"/>
              <w:bottom w:val="nil"/>
            </w:tcBorders>
            <w:shd w:val="clear" w:color="auto" w:fill="FFFFFF" w:themeFill="background1"/>
            <w:vAlign w:val="center"/>
          </w:tcPr>
          <w:p w14:paraId="15984984" w14:textId="77777777" w:rsidR="003F6D20" w:rsidRPr="00EE335B" w:rsidRDefault="003F6D20" w:rsidP="007C3E4E">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15.9%</w:t>
            </w:r>
          </w:p>
        </w:tc>
        <w:tc>
          <w:tcPr>
            <w:tcW w:w="2363" w:type="dxa"/>
            <w:tcBorders>
              <w:top w:val="nil"/>
              <w:bottom w:val="nil"/>
            </w:tcBorders>
            <w:shd w:val="clear" w:color="auto" w:fill="FFFFFF" w:themeFill="background1"/>
            <w:vAlign w:val="center"/>
          </w:tcPr>
          <w:p w14:paraId="0E48FBC9" w14:textId="77777777" w:rsidR="003F6D20" w:rsidRPr="00EE335B" w:rsidRDefault="003F6D20" w:rsidP="007C3E4E">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color w:val="000000"/>
                <w:sz w:val="14"/>
              </w:rPr>
              <w:t>28.5%</w:t>
            </w:r>
          </w:p>
        </w:tc>
      </w:tr>
      <w:tr w:rsidR="003F6D20" w:rsidRPr="00EE335B" w14:paraId="6341EEA4" w14:textId="77777777" w:rsidTr="00EE335B">
        <w:trPr>
          <w:trHeight w:val="311"/>
          <w:jc w:val="center"/>
        </w:trPr>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shd w:val="clear" w:color="auto" w:fill="DAEEF3" w:themeFill="accent5" w:themeFillTint="33"/>
            <w:vAlign w:val="center"/>
          </w:tcPr>
          <w:p w14:paraId="357B7405" w14:textId="77777777" w:rsidR="003F6D20" w:rsidRPr="00EE335B" w:rsidRDefault="003F6D20" w:rsidP="007C3E4E">
            <w:pPr>
              <w:pStyle w:val="NoSpacing"/>
              <w:keepNext/>
              <w:keepLines/>
              <w:rPr>
                <w:rFonts w:ascii="Times New Roman" w:hAnsi="Times New Roman" w:cs="Times New Roman"/>
                <w:b w:val="0"/>
                <w:sz w:val="14"/>
                <w:szCs w:val="14"/>
              </w:rPr>
            </w:pPr>
            <w:r w:rsidRPr="00EE335B">
              <w:rPr>
                <w:rFonts w:ascii="Times New Roman" w:hAnsi="Times New Roman" w:cs="Times New Roman"/>
                <w:b w:val="0"/>
                <w:color w:val="auto"/>
                <w:sz w:val="14"/>
                <w:szCs w:val="14"/>
              </w:rPr>
              <w:t>20-24</w:t>
            </w:r>
          </w:p>
        </w:tc>
        <w:tc>
          <w:tcPr>
            <w:tcW w:w="2363" w:type="dxa"/>
            <w:tcBorders>
              <w:top w:val="nil"/>
              <w:left w:val="nil"/>
              <w:bottom w:val="nil"/>
              <w:right w:val="nil"/>
            </w:tcBorders>
            <w:vAlign w:val="center"/>
          </w:tcPr>
          <w:p w14:paraId="5C1EC12D" w14:textId="77777777" w:rsidR="003F6D20" w:rsidRPr="00EE335B" w:rsidRDefault="003F6D20" w:rsidP="007C3E4E">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6.7%</w:t>
            </w:r>
          </w:p>
        </w:tc>
        <w:tc>
          <w:tcPr>
            <w:tcW w:w="2363" w:type="dxa"/>
            <w:tcBorders>
              <w:top w:val="nil"/>
              <w:left w:val="nil"/>
              <w:bottom w:val="nil"/>
              <w:right w:val="nil"/>
            </w:tcBorders>
            <w:vAlign w:val="center"/>
          </w:tcPr>
          <w:p w14:paraId="22E5C1A0" w14:textId="77777777" w:rsidR="003F6D20" w:rsidRPr="00EE335B" w:rsidRDefault="003F6D20" w:rsidP="007C3E4E">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color w:val="000000"/>
                <w:sz w:val="14"/>
              </w:rPr>
              <w:t>41.9%</w:t>
            </w:r>
          </w:p>
        </w:tc>
      </w:tr>
      <w:tr w:rsidR="003F6D20" w:rsidRPr="00EE335B" w14:paraId="260914A8" w14:textId="77777777" w:rsidTr="00EE335B">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shd w:val="clear" w:color="auto" w:fill="auto"/>
            <w:vAlign w:val="center"/>
          </w:tcPr>
          <w:p w14:paraId="736CE969" w14:textId="77777777" w:rsidR="003F6D20" w:rsidRPr="00EE335B" w:rsidRDefault="003F6D20" w:rsidP="007C3E4E">
            <w:pPr>
              <w:pStyle w:val="NoSpacing"/>
              <w:keepNext/>
              <w:keepLines/>
              <w:rPr>
                <w:rFonts w:ascii="Times New Roman" w:hAnsi="Times New Roman" w:cs="Times New Roman"/>
                <w:b w:val="0"/>
                <w:sz w:val="14"/>
                <w:szCs w:val="14"/>
              </w:rPr>
            </w:pPr>
            <w:r w:rsidRPr="00EE335B">
              <w:rPr>
                <w:rFonts w:ascii="Times New Roman" w:hAnsi="Times New Roman" w:cs="Times New Roman"/>
                <w:b w:val="0"/>
                <w:color w:val="auto"/>
                <w:sz w:val="14"/>
                <w:szCs w:val="14"/>
              </w:rPr>
              <w:t>25-34</w:t>
            </w:r>
          </w:p>
        </w:tc>
        <w:tc>
          <w:tcPr>
            <w:tcW w:w="2363" w:type="dxa"/>
            <w:tcBorders>
              <w:top w:val="nil"/>
              <w:left w:val="nil"/>
              <w:bottom w:val="nil"/>
              <w:right w:val="nil"/>
            </w:tcBorders>
            <w:shd w:val="clear" w:color="auto" w:fill="FFFFFF" w:themeFill="background1"/>
            <w:vAlign w:val="center"/>
          </w:tcPr>
          <w:p w14:paraId="34434733" w14:textId="77777777" w:rsidR="003F6D20" w:rsidRPr="00EE335B" w:rsidRDefault="003F6D20" w:rsidP="007C3E4E">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17.9%</w:t>
            </w:r>
          </w:p>
        </w:tc>
        <w:tc>
          <w:tcPr>
            <w:tcW w:w="2363" w:type="dxa"/>
            <w:tcBorders>
              <w:top w:val="nil"/>
              <w:left w:val="nil"/>
              <w:bottom w:val="nil"/>
              <w:right w:val="nil"/>
            </w:tcBorders>
            <w:shd w:val="clear" w:color="auto" w:fill="FFFFFF" w:themeFill="background1"/>
            <w:vAlign w:val="center"/>
          </w:tcPr>
          <w:p w14:paraId="140F324B" w14:textId="77777777" w:rsidR="003F6D20" w:rsidRPr="00EE335B" w:rsidRDefault="003F6D20" w:rsidP="007C3E4E">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20.2%</w:t>
            </w:r>
          </w:p>
        </w:tc>
      </w:tr>
      <w:tr w:rsidR="003F6D20" w:rsidRPr="00EE335B" w14:paraId="4A3F69D8" w14:textId="77777777" w:rsidTr="00EE335B">
        <w:trPr>
          <w:trHeight w:val="311"/>
          <w:jc w:val="center"/>
        </w:trPr>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shd w:val="clear" w:color="auto" w:fill="DAEEF3" w:themeFill="accent5" w:themeFillTint="33"/>
            <w:vAlign w:val="center"/>
          </w:tcPr>
          <w:p w14:paraId="456A275B" w14:textId="77777777" w:rsidR="003F6D20" w:rsidRPr="00EE335B" w:rsidRDefault="003F6D20" w:rsidP="007C3E4E">
            <w:pPr>
              <w:pStyle w:val="NoSpacing"/>
              <w:keepNext/>
              <w:keepLines/>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35-44</w:t>
            </w:r>
          </w:p>
        </w:tc>
        <w:tc>
          <w:tcPr>
            <w:tcW w:w="2363" w:type="dxa"/>
            <w:tcBorders>
              <w:top w:val="nil"/>
              <w:left w:val="nil"/>
              <w:bottom w:val="nil"/>
              <w:right w:val="nil"/>
            </w:tcBorders>
            <w:vAlign w:val="center"/>
          </w:tcPr>
          <w:p w14:paraId="14749BFD" w14:textId="77777777" w:rsidR="003F6D20" w:rsidRPr="00EE335B" w:rsidRDefault="003F6D20" w:rsidP="007C3E4E">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15.1%</w:t>
            </w:r>
          </w:p>
        </w:tc>
        <w:tc>
          <w:tcPr>
            <w:tcW w:w="2363" w:type="dxa"/>
            <w:tcBorders>
              <w:top w:val="nil"/>
              <w:left w:val="nil"/>
              <w:bottom w:val="nil"/>
              <w:right w:val="nil"/>
            </w:tcBorders>
            <w:vAlign w:val="center"/>
          </w:tcPr>
          <w:p w14:paraId="5890E8CA" w14:textId="77777777" w:rsidR="003F6D20" w:rsidRPr="00EE335B" w:rsidRDefault="003F6D20" w:rsidP="007C3E4E">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6.1%</w:t>
            </w:r>
          </w:p>
        </w:tc>
      </w:tr>
      <w:tr w:rsidR="003F6D20" w:rsidRPr="00EE335B" w14:paraId="043CF527" w14:textId="77777777" w:rsidTr="00EE335B">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shd w:val="clear" w:color="auto" w:fill="auto"/>
            <w:vAlign w:val="center"/>
          </w:tcPr>
          <w:p w14:paraId="7DCC62D9" w14:textId="77777777" w:rsidR="003F6D20" w:rsidRPr="00EE335B" w:rsidRDefault="003F6D20" w:rsidP="007C3E4E">
            <w:pPr>
              <w:pStyle w:val="NoSpacing"/>
              <w:keepNext/>
              <w:keepLines/>
              <w:rPr>
                <w:rFonts w:ascii="Times New Roman" w:hAnsi="Times New Roman" w:cs="Times New Roman"/>
                <w:b w:val="0"/>
                <w:sz w:val="14"/>
                <w:szCs w:val="14"/>
              </w:rPr>
            </w:pPr>
            <w:r w:rsidRPr="00EE335B">
              <w:rPr>
                <w:rFonts w:ascii="Times New Roman" w:hAnsi="Times New Roman" w:cs="Times New Roman"/>
                <w:b w:val="0"/>
                <w:color w:val="auto"/>
                <w:sz w:val="14"/>
                <w:szCs w:val="14"/>
              </w:rPr>
              <w:t>45-54</w:t>
            </w:r>
          </w:p>
        </w:tc>
        <w:tc>
          <w:tcPr>
            <w:tcW w:w="2363" w:type="dxa"/>
            <w:tcBorders>
              <w:top w:val="nil"/>
              <w:left w:val="nil"/>
              <w:bottom w:val="nil"/>
              <w:right w:val="nil"/>
            </w:tcBorders>
            <w:shd w:val="clear" w:color="auto" w:fill="auto"/>
            <w:vAlign w:val="center"/>
          </w:tcPr>
          <w:p w14:paraId="24F927CE" w14:textId="77777777" w:rsidR="003F6D20" w:rsidRPr="00EE335B" w:rsidRDefault="003F6D20" w:rsidP="007C3E4E">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14.8%</w:t>
            </w:r>
          </w:p>
        </w:tc>
        <w:tc>
          <w:tcPr>
            <w:tcW w:w="2363" w:type="dxa"/>
            <w:tcBorders>
              <w:top w:val="nil"/>
              <w:left w:val="nil"/>
              <w:bottom w:val="nil"/>
              <w:right w:val="nil"/>
            </w:tcBorders>
            <w:shd w:val="clear" w:color="auto" w:fill="auto"/>
            <w:vAlign w:val="center"/>
          </w:tcPr>
          <w:p w14:paraId="0578BED0" w14:textId="77777777" w:rsidR="003F6D20" w:rsidRPr="00EE335B" w:rsidRDefault="003F6D20" w:rsidP="007C3E4E">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3.4%</w:t>
            </w:r>
          </w:p>
        </w:tc>
      </w:tr>
      <w:tr w:rsidR="003F6D20" w:rsidRPr="00EE335B" w14:paraId="3D873232" w14:textId="77777777" w:rsidTr="00EE335B">
        <w:trPr>
          <w:trHeight w:val="311"/>
          <w:jc w:val="center"/>
        </w:trPr>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shd w:val="clear" w:color="auto" w:fill="DAEEF3" w:themeFill="accent5" w:themeFillTint="33"/>
            <w:vAlign w:val="center"/>
          </w:tcPr>
          <w:p w14:paraId="31958680" w14:textId="77777777" w:rsidR="003F6D20" w:rsidRPr="00EE335B" w:rsidRDefault="003F6D20" w:rsidP="007C3E4E">
            <w:pPr>
              <w:pStyle w:val="NoSpacing"/>
              <w:keepNext/>
              <w:keepLines/>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55+</w:t>
            </w:r>
          </w:p>
        </w:tc>
        <w:tc>
          <w:tcPr>
            <w:tcW w:w="2363" w:type="dxa"/>
            <w:tcBorders>
              <w:top w:val="nil"/>
              <w:left w:val="nil"/>
              <w:bottom w:val="nil"/>
              <w:right w:val="nil"/>
            </w:tcBorders>
            <w:vAlign w:val="center"/>
          </w:tcPr>
          <w:p w14:paraId="5055B238" w14:textId="77777777" w:rsidR="003F6D20" w:rsidRPr="00EE335B" w:rsidRDefault="003F6D20" w:rsidP="007C3E4E">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29.6%</w:t>
            </w:r>
          </w:p>
        </w:tc>
        <w:tc>
          <w:tcPr>
            <w:tcW w:w="2363" w:type="dxa"/>
            <w:tcBorders>
              <w:top w:val="nil"/>
              <w:left w:val="nil"/>
              <w:bottom w:val="nil"/>
              <w:right w:val="nil"/>
            </w:tcBorders>
            <w:vAlign w:val="center"/>
          </w:tcPr>
          <w:p w14:paraId="02A2E065" w14:textId="77777777" w:rsidR="003F6D20" w:rsidRPr="00EE335B" w:rsidRDefault="003F6D20" w:rsidP="007C3E4E">
            <w:pPr>
              <w:pStyle w:val="NoSpacing"/>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10.6%</w:t>
            </w:r>
          </w:p>
        </w:tc>
      </w:tr>
      <w:tr w:rsidR="003F6D20" w:rsidRPr="00EE335B" w14:paraId="04873AAF" w14:textId="77777777" w:rsidTr="00EE335B">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210" w:type="dxa"/>
            <w:tcBorders>
              <w:top w:val="single" w:sz="4" w:space="0" w:color="auto"/>
              <w:bottom w:val="single" w:sz="4" w:space="0" w:color="auto"/>
            </w:tcBorders>
            <w:shd w:val="clear" w:color="auto" w:fill="FFFFFF" w:themeFill="background1"/>
            <w:vAlign w:val="center"/>
          </w:tcPr>
          <w:p w14:paraId="069D8827" w14:textId="77777777" w:rsidR="003F6D20" w:rsidRPr="00EE335B" w:rsidRDefault="003F6D20" w:rsidP="007C3E4E">
            <w:pPr>
              <w:keepNext/>
              <w:keepLines/>
              <w:rPr>
                <w:rFonts w:cs="Times New Roman"/>
                <w:b w:val="0"/>
                <w:color w:val="215868" w:themeColor="accent5" w:themeShade="80"/>
                <w:sz w:val="14"/>
              </w:rPr>
            </w:pPr>
            <w:r w:rsidRPr="00EE335B">
              <w:rPr>
                <w:rFonts w:cs="Times New Roman"/>
                <w:b w:val="0"/>
                <w:color w:val="215868" w:themeColor="accent5" w:themeShade="80"/>
                <w:sz w:val="14"/>
              </w:rPr>
              <w:t>Total</w:t>
            </w:r>
          </w:p>
        </w:tc>
        <w:tc>
          <w:tcPr>
            <w:tcW w:w="2363" w:type="dxa"/>
            <w:tcBorders>
              <w:top w:val="single" w:sz="4" w:space="0" w:color="auto"/>
              <w:bottom w:val="single" w:sz="4" w:space="0" w:color="auto"/>
            </w:tcBorders>
            <w:shd w:val="clear" w:color="auto" w:fill="FFFFFF" w:themeFill="background1"/>
            <w:vAlign w:val="center"/>
          </w:tcPr>
          <w:p w14:paraId="647CFE6E" w14:textId="77777777" w:rsidR="003F6D20" w:rsidRPr="00EE335B" w:rsidRDefault="003F6D20" w:rsidP="007C3E4E">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c>
          <w:tcPr>
            <w:tcW w:w="2363" w:type="dxa"/>
            <w:tcBorders>
              <w:top w:val="single" w:sz="4" w:space="0" w:color="auto"/>
              <w:bottom w:val="single" w:sz="4" w:space="0" w:color="auto"/>
            </w:tcBorders>
            <w:shd w:val="clear" w:color="auto" w:fill="FFFFFF" w:themeFill="background1"/>
            <w:vAlign w:val="center"/>
          </w:tcPr>
          <w:p w14:paraId="2A39BFFE" w14:textId="77777777" w:rsidR="003F6D20" w:rsidRPr="00EE335B" w:rsidRDefault="003F6D20" w:rsidP="007C3E4E">
            <w:pPr>
              <w:pStyle w:val="NoSpacing"/>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100.0%</w:t>
            </w:r>
          </w:p>
        </w:tc>
      </w:tr>
    </w:tbl>
    <w:p w14:paraId="52E30305" w14:textId="77777777" w:rsidR="003F6D20" w:rsidRPr="00EE335B" w:rsidRDefault="003F6D20" w:rsidP="007C3E4E">
      <w:pPr>
        <w:keepNext/>
        <w:keepLines/>
        <w:rPr>
          <w:rFonts w:cs="Times New Roman"/>
          <w:i/>
          <w:sz w:val="14"/>
        </w:rPr>
      </w:pPr>
      <w:r w:rsidRPr="00EE335B">
        <w:rPr>
          <w:rFonts w:cs="Times New Roman"/>
          <w:i/>
          <w:sz w:val="14"/>
        </w:rPr>
        <w:t xml:space="preserve">Source: District area data were obtained from the 2014 American Community Survey (Census); the college student data were obtained from the Management Information System (MIS) </w:t>
      </w:r>
    </w:p>
    <w:p w14:paraId="60A25349" w14:textId="77777777" w:rsidR="003F6D20" w:rsidRPr="00EE335B" w:rsidRDefault="003F6D20" w:rsidP="003D4C4D">
      <w:pPr>
        <w:pStyle w:val="Heading3"/>
        <w:rPr>
          <w:sz w:val="20"/>
        </w:rPr>
      </w:pPr>
      <w:r w:rsidRPr="00EE335B">
        <w:t>Percentage of District Area High School Graduates Enrolling at Santa Monica College</w:t>
      </w:r>
    </w:p>
    <w:p w14:paraId="4E61F99A" w14:textId="5EAA070A" w:rsidR="003F6D20" w:rsidRPr="00EE335B" w:rsidRDefault="003F6D20" w:rsidP="001C65FC">
      <w:pPr>
        <w:pStyle w:val="Normalwithspacebetween"/>
        <w:spacing w:after="240"/>
      </w:pPr>
      <w:r w:rsidRPr="00EE335B">
        <w:t>One high school district, Santa Monica Unified School District (SMMUSD), is served by Santa Monica College. The SMMUSD has three high schools: Santa Monica High School, Malibu High School, and Olympic Continuation School. Each year, SMMUSD graduates an average of approximately 900 seniors. On average (class of 2008-2009 to class of 2013-2014), 31.2</w:t>
      </w:r>
      <w:r w:rsidR="00B5133B">
        <w:t xml:space="preserve"> percent</w:t>
      </w:r>
      <w:r w:rsidRPr="00EE335B">
        <w:t xml:space="preserve"> of high school graduates from the SMMUSD attend Santa Monica College within one year of graduating. </w:t>
      </w:r>
    </w:p>
    <w:p w14:paraId="71D17A14" w14:textId="77777777" w:rsidR="003F6D20" w:rsidRPr="00EE335B" w:rsidRDefault="003F6D20" w:rsidP="003F6D20">
      <w:pPr>
        <w:jc w:val="center"/>
        <w:rPr>
          <w:rFonts w:cs="Times New Roman"/>
          <w:sz w:val="20"/>
        </w:rPr>
      </w:pPr>
      <w:r w:rsidRPr="00EE335B">
        <w:rPr>
          <w:rFonts w:cs="Times New Roman"/>
          <w:sz w:val="20"/>
        </w:rPr>
        <w:t>SMMUSD Graduates Enrolling at SMC (Class of 2008/2009 to Class of 2013-2014)</w:t>
      </w:r>
    </w:p>
    <w:tbl>
      <w:tblPr>
        <w:tblStyle w:val="GridTable5Dark-Accent51"/>
        <w:tblW w:w="9073" w:type="dxa"/>
        <w:jc w:val="center"/>
        <w:tblLook w:val="04A0" w:firstRow="1" w:lastRow="0" w:firstColumn="1" w:lastColumn="0" w:noHBand="0" w:noVBand="1"/>
      </w:tblPr>
      <w:tblGrid>
        <w:gridCol w:w="1980"/>
        <w:gridCol w:w="1182"/>
        <w:gridCol w:w="1182"/>
        <w:gridCol w:w="1182"/>
        <w:gridCol w:w="1182"/>
        <w:gridCol w:w="1182"/>
        <w:gridCol w:w="1183"/>
      </w:tblGrid>
      <w:tr w:rsidR="003F6D20" w:rsidRPr="00EE335B" w14:paraId="5BC35CB4" w14:textId="77777777" w:rsidTr="00EE335B">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nil"/>
            </w:tcBorders>
          </w:tcPr>
          <w:p w14:paraId="0C4548B4" w14:textId="77777777" w:rsidR="003F6D20" w:rsidRPr="00EE335B" w:rsidRDefault="003F6D20" w:rsidP="00EE335B">
            <w:pPr>
              <w:rPr>
                <w:rFonts w:cs="Times New Roman"/>
                <w:b w:val="0"/>
                <w:sz w:val="16"/>
              </w:rPr>
            </w:pPr>
          </w:p>
        </w:tc>
        <w:tc>
          <w:tcPr>
            <w:tcW w:w="1182" w:type="dxa"/>
            <w:tcBorders>
              <w:top w:val="nil"/>
              <w:bottom w:val="nil"/>
            </w:tcBorders>
          </w:tcPr>
          <w:p w14:paraId="5902E98C"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Class of 2008-2009</w:t>
            </w:r>
          </w:p>
        </w:tc>
        <w:tc>
          <w:tcPr>
            <w:tcW w:w="1182" w:type="dxa"/>
            <w:tcBorders>
              <w:top w:val="nil"/>
              <w:bottom w:val="nil"/>
            </w:tcBorders>
          </w:tcPr>
          <w:p w14:paraId="5FC676A0"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Class of 2009-2010</w:t>
            </w:r>
          </w:p>
        </w:tc>
        <w:tc>
          <w:tcPr>
            <w:tcW w:w="1182" w:type="dxa"/>
            <w:tcBorders>
              <w:top w:val="nil"/>
              <w:bottom w:val="nil"/>
            </w:tcBorders>
          </w:tcPr>
          <w:p w14:paraId="5BC1BF00"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Class of 2010-2011</w:t>
            </w:r>
          </w:p>
        </w:tc>
        <w:tc>
          <w:tcPr>
            <w:tcW w:w="1182" w:type="dxa"/>
            <w:tcBorders>
              <w:top w:val="nil"/>
              <w:bottom w:val="nil"/>
            </w:tcBorders>
          </w:tcPr>
          <w:p w14:paraId="32C94BE7"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Class of 2011-2012</w:t>
            </w:r>
          </w:p>
        </w:tc>
        <w:tc>
          <w:tcPr>
            <w:tcW w:w="1182" w:type="dxa"/>
            <w:tcBorders>
              <w:top w:val="nil"/>
              <w:bottom w:val="nil"/>
            </w:tcBorders>
          </w:tcPr>
          <w:p w14:paraId="6F719BC8"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Class of 2012-2013</w:t>
            </w:r>
          </w:p>
        </w:tc>
        <w:tc>
          <w:tcPr>
            <w:tcW w:w="1183" w:type="dxa"/>
            <w:tcBorders>
              <w:top w:val="nil"/>
              <w:bottom w:val="nil"/>
            </w:tcBorders>
          </w:tcPr>
          <w:p w14:paraId="747230B4"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Class of 2013-2014</w:t>
            </w:r>
          </w:p>
        </w:tc>
      </w:tr>
      <w:tr w:rsidR="003F6D20" w:rsidRPr="00EE335B" w14:paraId="0E9B844B" w14:textId="77777777" w:rsidTr="00EE335B">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980" w:type="dxa"/>
            <w:tcBorders>
              <w:top w:val="nil"/>
              <w:bottom w:val="nil"/>
            </w:tcBorders>
            <w:shd w:val="clear" w:color="auto" w:fill="auto"/>
            <w:vAlign w:val="center"/>
          </w:tcPr>
          <w:p w14:paraId="70C85435" w14:textId="77777777" w:rsidR="003F6D20" w:rsidRPr="00EE335B" w:rsidRDefault="003F6D20" w:rsidP="00EE335B">
            <w:pPr>
              <w:pStyle w:val="NoSpacing"/>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High School Graduates from SMMUSD</w:t>
            </w:r>
          </w:p>
        </w:tc>
        <w:tc>
          <w:tcPr>
            <w:tcW w:w="1182" w:type="dxa"/>
            <w:tcBorders>
              <w:top w:val="nil"/>
              <w:bottom w:val="nil"/>
            </w:tcBorders>
            <w:shd w:val="clear" w:color="auto" w:fill="auto"/>
            <w:vAlign w:val="center"/>
          </w:tcPr>
          <w:p w14:paraId="505367E5"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895</w:t>
            </w:r>
          </w:p>
        </w:tc>
        <w:tc>
          <w:tcPr>
            <w:tcW w:w="1182" w:type="dxa"/>
            <w:tcBorders>
              <w:top w:val="nil"/>
              <w:bottom w:val="nil"/>
            </w:tcBorders>
            <w:shd w:val="clear" w:color="auto" w:fill="auto"/>
            <w:vAlign w:val="center"/>
          </w:tcPr>
          <w:p w14:paraId="2AC592BC"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927</w:t>
            </w:r>
          </w:p>
        </w:tc>
        <w:tc>
          <w:tcPr>
            <w:tcW w:w="1182" w:type="dxa"/>
            <w:tcBorders>
              <w:top w:val="nil"/>
              <w:bottom w:val="nil"/>
            </w:tcBorders>
            <w:shd w:val="clear" w:color="auto" w:fill="auto"/>
            <w:vAlign w:val="center"/>
          </w:tcPr>
          <w:p w14:paraId="789B0844"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916</w:t>
            </w:r>
          </w:p>
        </w:tc>
        <w:tc>
          <w:tcPr>
            <w:tcW w:w="1182" w:type="dxa"/>
            <w:tcBorders>
              <w:top w:val="nil"/>
              <w:bottom w:val="nil"/>
            </w:tcBorders>
            <w:shd w:val="clear" w:color="auto" w:fill="auto"/>
            <w:vAlign w:val="center"/>
          </w:tcPr>
          <w:p w14:paraId="6E990DF7"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898</w:t>
            </w:r>
          </w:p>
        </w:tc>
        <w:tc>
          <w:tcPr>
            <w:tcW w:w="1182" w:type="dxa"/>
            <w:tcBorders>
              <w:top w:val="nil"/>
              <w:bottom w:val="nil"/>
            </w:tcBorders>
            <w:shd w:val="clear" w:color="auto" w:fill="auto"/>
            <w:vAlign w:val="center"/>
          </w:tcPr>
          <w:p w14:paraId="00B9A0EA"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930</w:t>
            </w:r>
          </w:p>
        </w:tc>
        <w:tc>
          <w:tcPr>
            <w:tcW w:w="1183" w:type="dxa"/>
            <w:tcBorders>
              <w:top w:val="nil"/>
              <w:bottom w:val="nil"/>
            </w:tcBorders>
            <w:shd w:val="clear" w:color="auto" w:fill="auto"/>
            <w:vAlign w:val="center"/>
          </w:tcPr>
          <w:p w14:paraId="6C5EDEF0"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880</w:t>
            </w:r>
          </w:p>
        </w:tc>
      </w:tr>
      <w:tr w:rsidR="003F6D20" w:rsidRPr="00EE335B" w14:paraId="04567047" w14:textId="77777777" w:rsidTr="00EE335B">
        <w:trPr>
          <w:trHeight w:val="304"/>
          <w:jc w:val="center"/>
        </w:trPr>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nil"/>
              <w:right w:val="nil"/>
            </w:tcBorders>
            <w:shd w:val="clear" w:color="auto" w:fill="auto"/>
            <w:vAlign w:val="center"/>
          </w:tcPr>
          <w:p w14:paraId="7F2EEDDC" w14:textId="77777777" w:rsidR="003F6D20" w:rsidRPr="00EE335B" w:rsidRDefault="003F6D20" w:rsidP="00EE335B">
            <w:pPr>
              <w:pStyle w:val="NoSpacing"/>
              <w:rPr>
                <w:rFonts w:ascii="Times New Roman" w:hAnsi="Times New Roman" w:cs="Times New Roman"/>
                <w:b w:val="0"/>
                <w:color w:val="auto"/>
                <w:sz w:val="14"/>
                <w:szCs w:val="14"/>
              </w:rPr>
            </w:pPr>
            <w:r w:rsidRPr="00EE335B">
              <w:rPr>
                <w:rFonts w:ascii="Times New Roman" w:hAnsi="Times New Roman" w:cs="Times New Roman"/>
                <w:b w:val="0"/>
                <w:color w:val="auto"/>
                <w:sz w:val="14"/>
                <w:szCs w:val="14"/>
              </w:rPr>
              <w:t>Enrolled at SMC within One Year</w:t>
            </w:r>
          </w:p>
        </w:tc>
        <w:tc>
          <w:tcPr>
            <w:tcW w:w="1182" w:type="dxa"/>
            <w:tcBorders>
              <w:top w:val="nil"/>
              <w:left w:val="nil"/>
              <w:bottom w:val="nil"/>
              <w:right w:val="nil"/>
            </w:tcBorders>
            <w:shd w:val="clear" w:color="auto" w:fill="auto"/>
            <w:vAlign w:val="center"/>
          </w:tcPr>
          <w:p w14:paraId="46680F1A"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284</w:t>
            </w:r>
          </w:p>
        </w:tc>
        <w:tc>
          <w:tcPr>
            <w:tcW w:w="1182" w:type="dxa"/>
            <w:tcBorders>
              <w:top w:val="nil"/>
              <w:left w:val="nil"/>
              <w:bottom w:val="nil"/>
              <w:right w:val="nil"/>
            </w:tcBorders>
            <w:shd w:val="clear" w:color="auto" w:fill="auto"/>
            <w:vAlign w:val="center"/>
          </w:tcPr>
          <w:p w14:paraId="21182DCA"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279</w:t>
            </w:r>
          </w:p>
        </w:tc>
        <w:tc>
          <w:tcPr>
            <w:tcW w:w="1182" w:type="dxa"/>
            <w:tcBorders>
              <w:top w:val="nil"/>
              <w:left w:val="nil"/>
              <w:bottom w:val="nil"/>
              <w:right w:val="nil"/>
            </w:tcBorders>
            <w:shd w:val="clear" w:color="auto" w:fill="auto"/>
            <w:vAlign w:val="center"/>
          </w:tcPr>
          <w:p w14:paraId="37A173F4"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277</w:t>
            </w:r>
          </w:p>
        </w:tc>
        <w:tc>
          <w:tcPr>
            <w:tcW w:w="1182" w:type="dxa"/>
            <w:tcBorders>
              <w:top w:val="nil"/>
              <w:left w:val="nil"/>
              <w:bottom w:val="nil"/>
              <w:right w:val="nil"/>
            </w:tcBorders>
            <w:shd w:val="clear" w:color="auto" w:fill="auto"/>
            <w:vAlign w:val="center"/>
          </w:tcPr>
          <w:p w14:paraId="47EA1BC0"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297</w:t>
            </w:r>
          </w:p>
        </w:tc>
        <w:tc>
          <w:tcPr>
            <w:tcW w:w="1182" w:type="dxa"/>
            <w:tcBorders>
              <w:top w:val="nil"/>
              <w:left w:val="nil"/>
              <w:bottom w:val="nil"/>
              <w:right w:val="nil"/>
            </w:tcBorders>
            <w:shd w:val="clear" w:color="auto" w:fill="auto"/>
            <w:vAlign w:val="center"/>
          </w:tcPr>
          <w:p w14:paraId="7B3772DB"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297</w:t>
            </w:r>
          </w:p>
        </w:tc>
        <w:tc>
          <w:tcPr>
            <w:tcW w:w="1183" w:type="dxa"/>
            <w:tcBorders>
              <w:top w:val="nil"/>
              <w:left w:val="nil"/>
              <w:bottom w:val="nil"/>
              <w:right w:val="nil"/>
            </w:tcBorders>
            <w:shd w:val="clear" w:color="auto" w:fill="auto"/>
            <w:vAlign w:val="center"/>
          </w:tcPr>
          <w:p w14:paraId="193E4129"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265</w:t>
            </w:r>
          </w:p>
        </w:tc>
      </w:tr>
      <w:tr w:rsidR="003F6D20" w:rsidRPr="00EE335B" w14:paraId="52F56317" w14:textId="77777777" w:rsidTr="00EE335B">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shd w:val="clear" w:color="auto" w:fill="FFFFFF" w:themeFill="background1"/>
            <w:vAlign w:val="center"/>
          </w:tcPr>
          <w:p w14:paraId="031E17FB" w14:textId="3BDCE479" w:rsidR="003F6D20" w:rsidRPr="00EE335B" w:rsidRDefault="003F6D20" w:rsidP="00EE335B">
            <w:pPr>
              <w:rPr>
                <w:rFonts w:cs="Times New Roman"/>
                <w:b w:val="0"/>
                <w:color w:val="215868" w:themeColor="accent5" w:themeShade="80"/>
                <w:sz w:val="14"/>
              </w:rPr>
            </w:pPr>
            <w:r w:rsidRPr="00EE335B">
              <w:rPr>
                <w:rFonts w:cs="Times New Roman"/>
                <w:b w:val="0"/>
                <w:color w:val="auto"/>
                <w:sz w:val="14"/>
                <w:szCs w:val="14"/>
              </w:rPr>
              <w:t>%</w:t>
            </w:r>
            <w:r w:rsidR="00B5133B">
              <w:rPr>
                <w:rFonts w:cs="Times New Roman"/>
                <w:b w:val="0"/>
                <w:color w:val="auto"/>
                <w:sz w:val="14"/>
                <w:szCs w:val="14"/>
              </w:rPr>
              <w:t xml:space="preserve"> </w:t>
            </w:r>
            <w:r w:rsidRPr="00EE335B">
              <w:rPr>
                <w:rFonts w:cs="Times New Roman"/>
                <w:b w:val="0"/>
                <w:color w:val="auto"/>
                <w:sz w:val="14"/>
                <w:szCs w:val="14"/>
              </w:rPr>
              <w:t>Enrolled at SMC within One Year</w:t>
            </w:r>
          </w:p>
        </w:tc>
        <w:tc>
          <w:tcPr>
            <w:tcW w:w="1182" w:type="dxa"/>
            <w:tcBorders>
              <w:top w:val="single" w:sz="4" w:space="0" w:color="auto"/>
              <w:bottom w:val="single" w:sz="4" w:space="0" w:color="auto"/>
            </w:tcBorders>
            <w:shd w:val="clear" w:color="auto" w:fill="FFFFFF" w:themeFill="background1"/>
            <w:vAlign w:val="center"/>
          </w:tcPr>
          <w:p w14:paraId="348AB6E6"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31.7%</w:t>
            </w:r>
          </w:p>
        </w:tc>
        <w:tc>
          <w:tcPr>
            <w:tcW w:w="1182" w:type="dxa"/>
            <w:tcBorders>
              <w:top w:val="single" w:sz="4" w:space="0" w:color="auto"/>
              <w:bottom w:val="single" w:sz="4" w:space="0" w:color="auto"/>
            </w:tcBorders>
            <w:shd w:val="clear" w:color="auto" w:fill="FFFFFF" w:themeFill="background1"/>
            <w:vAlign w:val="center"/>
          </w:tcPr>
          <w:p w14:paraId="489770AB"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30.1%</w:t>
            </w:r>
          </w:p>
        </w:tc>
        <w:tc>
          <w:tcPr>
            <w:tcW w:w="1182" w:type="dxa"/>
            <w:tcBorders>
              <w:top w:val="single" w:sz="4" w:space="0" w:color="auto"/>
              <w:bottom w:val="single" w:sz="4" w:space="0" w:color="auto"/>
            </w:tcBorders>
            <w:shd w:val="clear" w:color="auto" w:fill="FFFFFF" w:themeFill="background1"/>
            <w:vAlign w:val="center"/>
          </w:tcPr>
          <w:p w14:paraId="74CA3C2A"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30.2%</w:t>
            </w:r>
          </w:p>
        </w:tc>
        <w:tc>
          <w:tcPr>
            <w:tcW w:w="1182" w:type="dxa"/>
            <w:tcBorders>
              <w:top w:val="single" w:sz="4" w:space="0" w:color="auto"/>
              <w:bottom w:val="single" w:sz="4" w:space="0" w:color="auto"/>
            </w:tcBorders>
            <w:shd w:val="clear" w:color="auto" w:fill="FFFFFF" w:themeFill="background1"/>
            <w:vAlign w:val="center"/>
          </w:tcPr>
          <w:p w14:paraId="0D73149E"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33.1%</w:t>
            </w:r>
          </w:p>
        </w:tc>
        <w:tc>
          <w:tcPr>
            <w:tcW w:w="1182" w:type="dxa"/>
            <w:tcBorders>
              <w:top w:val="single" w:sz="4" w:space="0" w:color="auto"/>
              <w:bottom w:val="single" w:sz="4" w:space="0" w:color="auto"/>
            </w:tcBorders>
            <w:shd w:val="clear" w:color="auto" w:fill="FFFFFF" w:themeFill="background1"/>
            <w:vAlign w:val="center"/>
          </w:tcPr>
          <w:p w14:paraId="12EAA088"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31.9%</w:t>
            </w:r>
          </w:p>
        </w:tc>
        <w:tc>
          <w:tcPr>
            <w:tcW w:w="1183" w:type="dxa"/>
            <w:tcBorders>
              <w:top w:val="single" w:sz="4" w:space="0" w:color="auto"/>
              <w:bottom w:val="single" w:sz="4" w:space="0" w:color="auto"/>
            </w:tcBorders>
            <w:shd w:val="clear" w:color="auto" w:fill="FFFFFF" w:themeFill="background1"/>
            <w:vAlign w:val="center"/>
          </w:tcPr>
          <w:p w14:paraId="4E1D3E8C"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30.1%</w:t>
            </w:r>
          </w:p>
        </w:tc>
      </w:tr>
    </w:tbl>
    <w:p w14:paraId="2AE74837" w14:textId="77777777" w:rsidR="003F6D20" w:rsidRPr="00EE335B" w:rsidRDefault="003F6D20" w:rsidP="003F6D20">
      <w:pPr>
        <w:rPr>
          <w:rFonts w:cs="Times New Roman"/>
          <w:i/>
          <w:sz w:val="14"/>
        </w:rPr>
      </w:pPr>
      <w:r w:rsidRPr="00EE335B">
        <w:rPr>
          <w:rFonts w:cs="Times New Roman"/>
          <w:i/>
          <w:sz w:val="14"/>
        </w:rPr>
        <w:t xml:space="preserve">Source: California Department of Education Data Quest and Management Information System (MIS) </w:t>
      </w:r>
    </w:p>
    <w:p w14:paraId="4B5E06AE" w14:textId="77777777" w:rsidR="003F6D20" w:rsidRPr="00EE335B" w:rsidRDefault="003F6D20" w:rsidP="003D4C4D">
      <w:pPr>
        <w:pStyle w:val="Heading1"/>
      </w:pPr>
      <w:r w:rsidRPr="00EE335B">
        <w:t>Instructional Offerings</w:t>
      </w:r>
    </w:p>
    <w:p w14:paraId="71332191" w14:textId="77777777" w:rsidR="003F6D20" w:rsidRPr="00EE335B" w:rsidRDefault="003F6D20" w:rsidP="003D4C4D">
      <w:pPr>
        <w:pStyle w:val="Heading3"/>
      </w:pPr>
      <w:r w:rsidRPr="00EE335B">
        <w:t>Credit and Non-Credit Section Offerings by Credit Type</w:t>
      </w:r>
    </w:p>
    <w:p w14:paraId="519BA824" w14:textId="1CE4A811" w:rsidR="003F6D20" w:rsidRPr="00EE335B" w:rsidRDefault="003F6D20" w:rsidP="00B71792">
      <w:pPr>
        <w:pStyle w:val="Normalwithspacebetween"/>
      </w:pPr>
      <w:r w:rsidRPr="00EE335B">
        <w:t>Over the last six academic years, the total number of section offerings increased slightly by 0.3</w:t>
      </w:r>
      <w:r w:rsidR="00B5133B">
        <w:t xml:space="preserve"> percent</w:t>
      </w:r>
      <w:r w:rsidRPr="00EE335B">
        <w:t>, from 7,292 in 2009-2010 to 7,316 in 2014-2015. The number of credit section offerings increased by 4.8</w:t>
      </w:r>
      <w:r w:rsidR="00B5133B">
        <w:t xml:space="preserve"> percent</w:t>
      </w:r>
      <w:r w:rsidRPr="00EE335B">
        <w:t xml:space="preserve"> (from 6,535 in 2009-2010 to 6,850 in 2014-2015), while the number of non-credit section offerings decreased by 38.4</w:t>
      </w:r>
      <w:r w:rsidR="00B5133B">
        <w:t xml:space="preserve"> percent</w:t>
      </w:r>
      <w:r w:rsidRPr="00EE335B">
        <w:t xml:space="preserve"> (from 757 in 2009-2010 to 466 in 2014-2015). The decrease in non-credit sections can be largely attributed to the reduction of course offerings at the Emeritus College and elementary and secondary basic skills courses.</w:t>
      </w:r>
    </w:p>
    <w:p w14:paraId="7FF80C5D" w14:textId="77777777" w:rsidR="003F6D20" w:rsidRPr="00EE335B" w:rsidRDefault="003F6D20" w:rsidP="003F6D20">
      <w:pPr>
        <w:jc w:val="center"/>
        <w:rPr>
          <w:rFonts w:cs="Times New Roman"/>
          <w:i/>
          <w:sz w:val="14"/>
        </w:rPr>
      </w:pPr>
      <w:r w:rsidRPr="00EE335B">
        <w:rPr>
          <w:rFonts w:cs="Times New Roman"/>
          <w:noProof/>
          <w:sz w:val="32"/>
        </w:rPr>
        <w:lastRenderedPageBreak/>
        <w:drawing>
          <wp:inline distT="0" distB="0" distL="0" distR="0" wp14:anchorId="4F27C09D" wp14:editId="43151A21">
            <wp:extent cx="5486400" cy="2626157"/>
            <wp:effectExtent l="0" t="0" r="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9FF3A4D" w14:textId="77777777" w:rsidR="003F6D20" w:rsidRDefault="003F6D20" w:rsidP="003F6D20">
      <w:pPr>
        <w:rPr>
          <w:rFonts w:cs="Times New Roman"/>
          <w:i/>
          <w:sz w:val="14"/>
        </w:rPr>
      </w:pPr>
      <w:r w:rsidRPr="00EE335B">
        <w:rPr>
          <w:rFonts w:cs="Times New Roman"/>
          <w:i/>
          <w:sz w:val="14"/>
        </w:rPr>
        <w:t>Source: Management Information System</w:t>
      </w:r>
    </w:p>
    <w:p w14:paraId="7D5DE007" w14:textId="77777777" w:rsidR="001C65FC" w:rsidRPr="00EE335B" w:rsidRDefault="001C65FC" w:rsidP="003F6D20">
      <w:pPr>
        <w:rPr>
          <w:rFonts w:cs="Times New Roman"/>
          <w:sz w:val="20"/>
        </w:rPr>
      </w:pPr>
    </w:p>
    <w:p w14:paraId="7F6C992D" w14:textId="6FD74CEC" w:rsidR="003F6D20" w:rsidRPr="00EE335B" w:rsidRDefault="003F6D20" w:rsidP="00B71792">
      <w:pPr>
        <w:pStyle w:val="Normalwithspacebetween"/>
      </w:pPr>
      <w:r w:rsidRPr="00EE335B">
        <w:t>Between 2009-2010 and 2014-2015, the number of section offerings in credit, degree-applicable courses increased by 8.7</w:t>
      </w:r>
      <w:r w:rsidR="00B5133B">
        <w:t xml:space="preserve"> percent</w:t>
      </w:r>
      <w:r w:rsidRPr="00EE335B">
        <w:t>, while the number of section offerings in credit, non-degree applicable courses decreased by 26.7</w:t>
      </w:r>
      <w:r w:rsidR="00B5133B">
        <w:t xml:space="preserve"> percent</w:t>
      </w:r>
      <w:r w:rsidRPr="00EE335B">
        <w:t>.</w:t>
      </w:r>
    </w:p>
    <w:p w14:paraId="7E7FA81B" w14:textId="77777777" w:rsidR="003F6D20" w:rsidRPr="00EE335B" w:rsidRDefault="003F6D20" w:rsidP="003F6D20">
      <w:pPr>
        <w:rPr>
          <w:rFonts w:cs="Times New Roman"/>
          <w:sz w:val="20"/>
        </w:rPr>
      </w:pPr>
      <w:r w:rsidRPr="00EE335B">
        <w:rPr>
          <w:rFonts w:cs="Times New Roman"/>
          <w:noProof/>
          <w:sz w:val="32"/>
        </w:rPr>
        <w:drawing>
          <wp:inline distT="0" distB="0" distL="0" distR="0" wp14:anchorId="1B984EB0" wp14:editId="3D0F8297">
            <wp:extent cx="5486400" cy="2626157"/>
            <wp:effectExtent l="0" t="0" r="0" b="317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2611776" w14:textId="77777777" w:rsidR="003F6D20" w:rsidRDefault="003F6D20" w:rsidP="003F6D20">
      <w:pPr>
        <w:rPr>
          <w:rFonts w:cs="Times New Roman"/>
          <w:i/>
          <w:sz w:val="14"/>
        </w:rPr>
      </w:pPr>
      <w:r w:rsidRPr="00EE335B">
        <w:rPr>
          <w:rFonts w:cs="Times New Roman"/>
          <w:i/>
          <w:sz w:val="14"/>
        </w:rPr>
        <w:t>Source: Management Information System</w:t>
      </w:r>
    </w:p>
    <w:p w14:paraId="15685CDD" w14:textId="77777777" w:rsidR="001C65FC" w:rsidRPr="00EE335B" w:rsidRDefault="001C65FC" w:rsidP="003F6D20">
      <w:pPr>
        <w:rPr>
          <w:rFonts w:cs="Times New Roman"/>
          <w:sz w:val="20"/>
        </w:rPr>
      </w:pPr>
    </w:p>
    <w:p w14:paraId="2DBA6113" w14:textId="76233067" w:rsidR="003F6D20" w:rsidRDefault="003F6D20" w:rsidP="00F1162D">
      <w:pPr>
        <w:pStyle w:val="Heading4"/>
      </w:pPr>
      <w:r w:rsidRPr="00C20BA0">
        <w:t>Credit Sec</w:t>
      </w:r>
      <w:r w:rsidR="007C3E4E">
        <w:t>t</w:t>
      </w:r>
      <w:r w:rsidRPr="00C20BA0">
        <w:t>ion Offerings by Transfer Status</w:t>
      </w:r>
    </w:p>
    <w:p w14:paraId="622AE1E1" w14:textId="28C1663F" w:rsidR="003F6D20" w:rsidRPr="00EE335B" w:rsidRDefault="003F6D20" w:rsidP="00B71792">
      <w:pPr>
        <w:pStyle w:val="Normalwithspacebetween"/>
      </w:pPr>
      <w:r w:rsidRPr="00EE335B">
        <w:t>The largest proportion of credit section offerings are transferable to the University of California (UC) and California State University (CSU) systems on the basis of articulation agreements (69.1</w:t>
      </w:r>
      <w:r w:rsidR="00B5133B">
        <w:t xml:space="preserve"> percent</w:t>
      </w:r>
      <w:r w:rsidRPr="00EE335B">
        <w:t xml:space="preserve"> or 4,735 out of 6,850 credit sections in 2014-2015). Over the last six academic years, the number of section offerings that were UC/CSU transferable increased by 11.9</w:t>
      </w:r>
      <w:r w:rsidR="00B5133B">
        <w:t xml:space="preserve"> percent</w:t>
      </w:r>
      <w:r w:rsidRPr="00EE335B">
        <w:t xml:space="preserve"> (from 4,231 in 2009-2010 to 4,735 in 2014-2015). The number of CSU transferable class sections offered also increased, by 6.6</w:t>
      </w:r>
      <w:r w:rsidR="00B5133B">
        <w:t xml:space="preserve"> percent</w:t>
      </w:r>
      <w:r w:rsidRPr="00EE335B">
        <w:t xml:space="preserve"> (from 1,062 in 2009-2010 to 1,132 in 2014-2015). The number of credit section offerings that were non-transferable </w:t>
      </w:r>
      <w:r w:rsidRPr="00EE335B">
        <w:lastRenderedPageBreak/>
        <w:t>decreased during the same period by 20.9</w:t>
      </w:r>
      <w:r w:rsidR="00B5133B">
        <w:t xml:space="preserve"> percent</w:t>
      </w:r>
      <w:r w:rsidRPr="00EE335B">
        <w:t>, from 1,242 in 2009-2010 to 983 in 2014-2015.</w:t>
      </w:r>
    </w:p>
    <w:p w14:paraId="2228559F" w14:textId="77777777" w:rsidR="003F6D20" w:rsidRPr="00EE335B" w:rsidRDefault="003F6D20" w:rsidP="003F6D20">
      <w:pPr>
        <w:jc w:val="center"/>
        <w:rPr>
          <w:rFonts w:cs="Times New Roman"/>
          <w:i/>
          <w:sz w:val="14"/>
        </w:rPr>
      </w:pPr>
      <w:r w:rsidRPr="00EE335B">
        <w:rPr>
          <w:rFonts w:cs="Times New Roman"/>
          <w:noProof/>
          <w:sz w:val="32"/>
        </w:rPr>
        <w:drawing>
          <wp:inline distT="0" distB="0" distL="0" distR="0" wp14:anchorId="1711ADBB" wp14:editId="1C428E5E">
            <wp:extent cx="5486400" cy="2626157"/>
            <wp:effectExtent l="0" t="0" r="0" b="317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0698949" w14:textId="77777777" w:rsidR="003F6D20" w:rsidRDefault="003F6D20" w:rsidP="003F6D20">
      <w:pPr>
        <w:rPr>
          <w:rFonts w:cs="Times New Roman"/>
          <w:i/>
          <w:sz w:val="14"/>
        </w:rPr>
      </w:pPr>
      <w:r w:rsidRPr="00EE335B">
        <w:rPr>
          <w:rFonts w:cs="Times New Roman"/>
          <w:i/>
          <w:sz w:val="14"/>
        </w:rPr>
        <w:t>Source: Management Information System</w:t>
      </w:r>
    </w:p>
    <w:p w14:paraId="5FBF488D" w14:textId="77777777" w:rsidR="001C65FC" w:rsidRPr="00EE335B" w:rsidRDefault="001C65FC" w:rsidP="003F6D20">
      <w:pPr>
        <w:rPr>
          <w:rFonts w:cs="Times New Roman"/>
          <w:sz w:val="20"/>
        </w:rPr>
      </w:pPr>
    </w:p>
    <w:p w14:paraId="2AADDC66" w14:textId="086579D0" w:rsidR="003F6D20" w:rsidRDefault="003F6D20" w:rsidP="003D4C4D">
      <w:pPr>
        <w:pStyle w:val="Heading4"/>
      </w:pPr>
      <w:r w:rsidRPr="00C20BA0">
        <w:t>Credit Section Offerings by Basic Skills Status</w:t>
      </w:r>
    </w:p>
    <w:p w14:paraId="6AECEE39" w14:textId="56E46542" w:rsidR="003F6D20" w:rsidRPr="00EE335B" w:rsidRDefault="003F6D20" w:rsidP="00B71792">
      <w:pPr>
        <w:pStyle w:val="Normalwithspacebetween"/>
      </w:pPr>
      <w:r w:rsidRPr="00EE335B">
        <w:t>A large majority of credit section offerings are college-level and not basic skills (92.6</w:t>
      </w:r>
      <w:r w:rsidR="00B5133B">
        <w:t xml:space="preserve"> percent</w:t>
      </w:r>
      <w:r w:rsidRPr="00EE335B">
        <w:t xml:space="preserve"> in 2014-2015). Over the last six academic years, the number of section offerings that were not basic skills increased by 9.8</w:t>
      </w:r>
      <w:r w:rsidR="00B5133B">
        <w:t xml:space="preserve"> percent</w:t>
      </w:r>
      <w:r w:rsidRPr="00EE335B">
        <w:t xml:space="preserve"> (from 5,976 in 2009-2010 to 6,346 in 2014-2015) while the number of credit section offerings that were basic skills decreased by 6.2</w:t>
      </w:r>
      <w:r w:rsidR="00B5133B">
        <w:t xml:space="preserve"> percent</w:t>
      </w:r>
      <w:r w:rsidRPr="00EE335B">
        <w:t>, from 559 in 2009-2010 to 504 in 2014-2015.</w:t>
      </w:r>
    </w:p>
    <w:p w14:paraId="1E7BF140" w14:textId="77777777" w:rsidR="003F6D20" w:rsidRPr="00EE335B" w:rsidRDefault="003F6D20" w:rsidP="003F6D20">
      <w:pPr>
        <w:jc w:val="center"/>
        <w:rPr>
          <w:rFonts w:cs="Times New Roman"/>
          <w:i/>
          <w:sz w:val="14"/>
        </w:rPr>
      </w:pPr>
      <w:r w:rsidRPr="00EE335B">
        <w:rPr>
          <w:rFonts w:cs="Times New Roman"/>
          <w:noProof/>
          <w:sz w:val="32"/>
        </w:rPr>
        <w:drawing>
          <wp:inline distT="0" distB="0" distL="0" distR="0" wp14:anchorId="405C5ECD" wp14:editId="32ADB038">
            <wp:extent cx="5486400" cy="2626157"/>
            <wp:effectExtent l="0" t="0" r="0" b="317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3E2F780" w14:textId="77777777" w:rsidR="003F6D20" w:rsidRDefault="003F6D20" w:rsidP="003F6D20">
      <w:pPr>
        <w:rPr>
          <w:rFonts w:cs="Times New Roman"/>
          <w:i/>
          <w:sz w:val="14"/>
        </w:rPr>
      </w:pPr>
      <w:r w:rsidRPr="00EE335B">
        <w:rPr>
          <w:rFonts w:cs="Times New Roman"/>
          <w:i/>
          <w:sz w:val="14"/>
        </w:rPr>
        <w:t>Source: Management Information System</w:t>
      </w:r>
    </w:p>
    <w:p w14:paraId="484F20E3" w14:textId="77777777" w:rsidR="001C65FC" w:rsidRPr="00EE335B" w:rsidRDefault="001C65FC" w:rsidP="003F6D20">
      <w:pPr>
        <w:rPr>
          <w:rFonts w:cs="Times New Roman"/>
          <w:sz w:val="20"/>
        </w:rPr>
      </w:pPr>
    </w:p>
    <w:p w14:paraId="2699A18E" w14:textId="77777777" w:rsidR="003F6D20" w:rsidRDefault="003F6D20" w:rsidP="003D4C4D">
      <w:pPr>
        <w:pStyle w:val="Heading4"/>
      </w:pPr>
      <w:r w:rsidRPr="00C20BA0">
        <w:t>Credit Section Offerings by Occupational Category</w:t>
      </w:r>
    </w:p>
    <w:p w14:paraId="6ED79834" w14:textId="1449D7DC" w:rsidR="003F6D20" w:rsidRPr="00EE335B" w:rsidRDefault="003F6D20" w:rsidP="001C65FC">
      <w:pPr>
        <w:pStyle w:val="Normalwithspacebetween"/>
        <w:spacing w:after="240"/>
      </w:pPr>
      <w:r w:rsidRPr="00EE335B">
        <w:t xml:space="preserve">A little over one-quarter of all credit section offerings at Santa Monica College is occupational. Over the last six academic years, Santa Monica College did not offer any </w:t>
      </w:r>
      <w:r w:rsidRPr="00EE335B">
        <w:lastRenderedPageBreak/>
        <w:t>apprenticeship class sections. During the same period, the numbers of credit section offerings in clearly occupational and non-occupational courses increased by 15.6</w:t>
      </w:r>
      <w:r w:rsidR="00B5133B">
        <w:t xml:space="preserve"> percent</w:t>
      </w:r>
      <w:r w:rsidRPr="00EE335B">
        <w:t xml:space="preserve"> and 6.2</w:t>
      </w:r>
      <w:r w:rsidR="00B5133B">
        <w:t xml:space="preserve"> percent</w:t>
      </w:r>
      <w:r w:rsidRPr="00EE335B">
        <w:t>, respectively, while the numbers of credit section offerings in advanced and possibly occupational courses experienced a decline of 10.9</w:t>
      </w:r>
      <w:r w:rsidR="00B5133B">
        <w:t xml:space="preserve"> percent</w:t>
      </w:r>
      <w:r w:rsidRPr="00EE335B">
        <w:t xml:space="preserve"> and 12.0</w:t>
      </w:r>
      <w:r w:rsidR="00B5133B">
        <w:t xml:space="preserve"> percent</w:t>
      </w:r>
      <w:r w:rsidRPr="00EE335B">
        <w:t xml:space="preserve">, respectively. In 2010, the CTE faculty discovered that many Career Technical Education (CTE) courses were miscoded in terms of occupational category. As a result, the CTE faculty and Academic Affairs worked in 2011, and again in 2015, to revise the codes to better accurately reflect the degree to which a CTE course is occupational. </w:t>
      </w:r>
    </w:p>
    <w:p w14:paraId="2095149C" w14:textId="77777777" w:rsidR="003F6D20" w:rsidRPr="00EE335B" w:rsidRDefault="003F6D20" w:rsidP="003F6D20">
      <w:pPr>
        <w:jc w:val="center"/>
        <w:rPr>
          <w:rFonts w:cs="Times New Roman"/>
          <w:sz w:val="20"/>
        </w:rPr>
      </w:pPr>
      <w:r w:rsidRPr="00EE335B">
        <w:rPr>
          <w:rFonts w:cs="Times New Roman"/>
          <w:sz w:val="20"/>
        </w:rPr>
        <w:t>Credit Section Offerings by Occupational Category, 2009-2010 to 2014-2015</w:t>
      </w:r>
    </w:p>
    <w:tbl>
      <w:tblPr>
        <w:tblStyle w:val="GridTable5Dark-Accent51"/>
        <w:tblW w:w="9391" w:type="dxa"/>
        <w:jc w:val="center"/>
        <w:tblLook w:val="04A0" w:firstRow="1" w:lastRow="0" w:firstColumn="1" w:lastColumn="0" w:noHBand="0" w:noVBand="1"/>
      </w:tblPr>
      <w:tblGrid>
        <w:gridCol w:w="1266"/>
        <w:gridCol w:w="1354"/>
        <w:gridCol w:w="1354"/>
        <w:gridCol w:w="1354"/>
        <w:gridCol w:w="1354"/>
        <w:gridCol w:w="1354"/>
        <w:gridCol w:w="1355"/>
      </w:tblGrid>
      <w:tr w:rsidR="003F6D20" w:rsidRPr="00EE335B" w14:paraId="39709AC3" w14:textId="77777777" w:rsidTr="00EE335B">
        <w:trPr>
          <w:cnfStyle w:val="100000000000" w:firstRow="1" w:lastRow="0" w:firstColumn="0" w:lastColumn="0" w:oddVBand="0" w:evenVBand="0" w:oddHBand="0"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1266" w:type="dxa"/>
            <w:tcBorders>
              <w:top w:val="nil"/>
              <w:left w:val="nil"/>
              <w:bottom w:val="nil"/>
            </w:tcBorders>
          </w:tcPr>
          <w:p w14:paraId="12445AC6" w14:textId="77777777" w:rsidR="003F6D20" w:rsidRPr="00EE335B" w:rsidRDefault="003F6D20" w:rsidP="00EE335B">
            <w:pPr>
              <w:rPr>
                <w:rFonts w:cs="Times New Roman"/>
                <w:b w:val="0"/>
                <w:sz w:val="16"/>
              </w:rPr>
            </w:pPr>
          </w:p>
        </w:tc>
        <w:tc>
          <w:tcPr>
            <w:tcW w:w="1354" w:type="dxa"/>
            <w:tcBorders>
              <w:top w:val="nil"/>
              <w:bottom w:val="nil"/>
            </w:tcBorders>
            <w:vAlign w:val="center"/>
          </w:tcPr>
          <w:p w14:paraId="635B16F3"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2009-2010</w:t>
            </w:r>
          </w:p>
        </w:tc>
        <w:tc>
          <w:tcPr>
            <w:tcW w:w="1354" w:type="dxa"/>
            <w:tcBorders>
              <w:top w:val="nil"/>
              <w:bottom w:val="nil"/>
            </w:tcBorders>
            <w:vAlign w:val="center"/>
          </w:tcPr>
          <w:p w14:paraId="388C4AE2"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2010-2011</w:t>
            </w:r>
          </w:p>
        </w:tc>
        <w:tc>
          <w:tcPr>
            <w:tcW w:w="1354" w:type="dxa"/>
            <w:tcBorders>
              <w:top w:val="nil"/>
              <w:bottom w:val="nil"/>
            </w:tcBorders>
            <w:vAlign w:val="center"/>
          </w:tcPr>
          <w:p w14:paraId="79219B70"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2011-2012</w:t>
            </w:r>
          </w:p>
        </w:tc>
        <w:tc>
          <w:tcPr>
            <w:tcW w:w="1354" w:type="dxa"/>
            <w:tcBorders>
              <w:top w:val="nil"/>
              <w:bottom w:val="nil"/>
            </w:tcBorders>
            <w:vAlign w:val="center"/>
          </w:tcPr>
          <w:p w14:paraId="195501A4"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2012-2013</w:t>
            </w:r>
          </w:p>
        </w:tc>
        <w:tc>
          <w:tcPr>
            <w:tcW w:w="1354" w:type="dxa"/>
            <w:tcBorders>
              <w:top w:val="nil"/>
              <w:bottom w:val="nil"/>
            </w:tcBorders>
            <w:vAlign w:val="center"/>
          </w:tcPr>
          <w:p w14:paraId="6D2C9E0F"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2013-2014</w:t>
            </w:r>
          </w:p>
        </w:tc>
        <w:tc>
          <w:tcPr>
            <w:tcW w:w="1355" w:type="dxa"/>
            <w:tcBorders>
              <w:top w:val="nil"/>
              <w:bottom w:val="nil"/>
              <w:right w:val="nil"/>
            </w:tcBorders>
            <w:vAlign w:val="center"/>
          </w:tcPr>
          <w:p w14:paraId="63B8891A" w14:textId="77777777" w:rsidR="003F6D20" w:rsidRPr="00EE335B" w:rsidRDefault="003F6D20"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2014-2015</w:t>
            </w:r>
          </w:p>
        </w:tc>
      </w:tr>
      <w:tr w:rsidR="003F6D20" w:rsidRPr="00EE335B" w14:paraId="5EACB98D" w14:textId="77777777" w:rsidTr="00EE335B">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1266" w:type="dxa"/>
            <w:tcBorders>
              <w:top w:val="nil"/>
            </w:tcBorders>
            <w:shd w:val="clear" w:color="auto" w:fill="FFFFFF" w:themeFill="background1"/>
            <w:vAlign w:val="center"/>
          </w:tcPr>
          <w:p w14:paraId="2FEE0F65" w14:textId="77777777" w:rsidR="003F6D20" w:rsidRPr="00EE335B" w:rsidRDefault="003F6D20" w:rsidP="00EE335B">
            <w:pPr>
              <w:pStyle w:val="NoSpacing"/>
              <w:rPr>
                <w:rFonts w:ascii="Times New Roman" w:hAnsi="Times New Roman" w:cs="Times New Roman"/>
                <w:b w:val="0"/>
                <w:color w:val="auto"/>
                <w:sz w:val="14"/>
              </w:rPr>
            </w:pPr>
            <w:r w:rsidRPr="00EE335B">
              <w:rPr>
                <w:rFonts w:ascii="Times New Roman" w:hAnsi="Times New Roman" w:cs="Times New Roman"/>
                <w:b w:val="0"/>
                <w:color w:val="auto"/>
                <w:sz w:val="14"/>
              </w:rPr>
              <w:t>Apprenticeship</w:t>
            </w:r>
          </w:p>
        </w:tc>
        <w:tc>
          <w:tcPr>
            <w:tcW w:w="1354" w:type="dxa"/>
            <w:tcBorders>
              <w:top w:val="nil"/>
            </w:tcBorders>
            <w:shd w:val="clear" w:color="auto" w:fill="FFFFFF" w:themeFill="background1"/>
            <w:vAlign w:val="center"/>
          </w:tcPr>
          <w:p w14:paraId="5AD16663"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0</w:t>
            </w:r>
          </w:p>
        </w:tc>
        <w:tc>
          <w:tcPr>
            <w:tcW w:w="1354" w:type="dxa"/>
            <w:tcBorders>
              <w:top w:val="nil"/>
            </w:tcBorders>
            <w:shd w:val="clear" w:color="auto" w:fill="FFFFFF" w:themeFill="background1"/>
            <w:vAlign w:val="center"/>
          </w:tcPr>
          <w:p w14:paraId="2E51D5DB"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0</w:t>
            </w:r>
          </w:p>
        </w:tc>
        <w:tc>
          <w:tcPr>
            <w:tcW w:w="1354" w:type="dxa"/>
            <w:tcBorders>
              <w:top w:val="nil"/>
            </w:tcBorders>
            <w:shd w:val="clear" w:color="auto" w:fill="FFFFFF" w:themeFill="background1"/>
            <w:vAlign w:val="center"/>
          </w:tcPr>
          <w:p w14:paraId="14860FFF"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0</w:t>
            </w:r>
          </w:p>
        </w:tc>
        <w:tc>
          <w:tcPr>
            <w:tcW w:w="1354" w:type="dxa"/>
            <w:tcBorders>
              <w:top w:val="nil"/>
            </w:tcBorders>
            <w:shd w:val="clear" w:color="auto" w:fill="FFFFFF" w:themeFill="background1"/>
            <w:vAlign w:val="center"/>
          </w:tcPr>
          <w:p w14:paraId="76207084"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0</w:t>
            </w:r>
          </w:p>
        </w:tc>
        <w:tc>
          <w:tcPr>
            <w:tcW w:w="1354" w:type="dxa"/>
            <w:tcBorders>
              <w:top w:val="nil"/>
            </w:tcBorders>
            <w:shd w:val="clear" w:color="auto" w:fill="FFFFFF" w:themeFill="background1"/>
            <w:vAlign w:val="center"/>
          </w:tcPr>
          <w:p w14:paraId="558971B6"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0</w:t>
            </w:r>
          </w:p>
        </w:tc>
        <w:tc>
          <w:tcPr>
            <w:tcW w:w="1355" w:type="dxa"/>
            <w:tcBorders>
              <w:top w:val="nil"/>
            </w:tcBorders>
            <w:shd w:val="clear" w:color="auto" w:fill="FFFFFF" w:themeFill="background1"/>
            <w:vAlign w:val="center"/>
          </w:tcPr>
          <w:p w14:paraId="14DC3367"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0</w:t>
            </w:r>
          </w:p>
        </w:tc>
      </w:tr>
      <w:tr w:rsidR="003F6D20" w:rsidRPr="00EE335B" w14:paraId="45B5DB3B" w14:textId="77777777" w:rsidTr="00EE335B">
        <w:trPr>
          <w:trHeight w:val="363"/>
          <w:jc w:val="center"/>
        </w:trPr>
        <w:tc>
          <w:tcPr>
            <w:cnfStyle w:val="001000000000" w:firstRow="0" w:lastRow="0" w:firstColumn="1" w:lastColumn="0" w:oddVBand="0" w:evenVBand="0" w:oddHBand="0" w:evenHBand="0" w:firstRowFirstColumn="0" w:firstRowLastColumn="0" w:lastRowFirstColumn="0" w:lastRowLastColumn="0"/>
            <w:tcW w:w="1266" w:type="dxa"/>
            <w:shd w:val="clear" w:color="auto" w:fill="DAEEF3" w:themeFill="accent5" w:themeFillTint="33"/>
            <w:vAlign w:val="center"/>
          </w:tcPr>
          <w:p w14:paraId="23574CD6" w14:textId="77777777" w:rsidR="003F6D20" w:rsidRPr="00EE335B" w:rsidRDefault="003F6D20" w:rsidP="00EE335B">
            <w:pPr>
              <w:pStyle w:val="NoSpacing"/>
              <w:rPr>
                <w:rFonts w:ascii="Times New Roman" w:hAnsi="Times New Roman" w:cs="Times New Roman"/>
                <w:b w:val="0"/>
                <w:color w:val="auto"/>
                <w:sz w:val="14"/>
              </w:rPr>
            </w:pPr>
            <w:r w:rsidRPr="00EE335B">
              <w:rPr>
                <w:rFonts w:ascii="Times New Roman" w:hAnsi="Times New Roman" w:cs="Times New Roman"/>
                <w:b w:val="0"/>
                <w:color w:val="auto"/>
                <w:sz w:val="14"/>
              </w:rPr>
              <w:t>Advanced occupational</w:t>
            </w:r>
          </w:p>
        </w:tc>
        <w:tc>
          <w:tcPr>
            <w:tcW w:w="1354" w:type="dxa"/>
            <w:vAlign w:val="center"/>
          </w:tcPr>
          <w:p w14:paraId="672B75D2"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682</w:t>
            </w:r>
          </w:p>
        </w:tc>
        <w:tc>
          <w:tcPr>
            <w:tcW w:w="1354" w:type="dxa"/>
            <w:vAlign w:val="center"/>
          </w:tcPr>
          <w:p w14:paraId="0953EF74"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686</w:t>
            </w:r>
          </w:p>
        </w:tc>
        <w:tc>
          <w:tcPr>
            <w:tcW w:w="1354" w:type="dxa"/>
            <w:vAlign w:val="center"/>
          </w:tcPr>
          <w:p w14:paraId="7415F9C6"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617</w:t>
            </w:r>
          </w:p>
        </w:tc>
        <w:tc>
          <w:tcPr>
            <w:tcW w:w="1354" w:type="dxa"/>
            <w:vAlign w:val="center"/>
          </w:tcPr>
          <w:p w14:paraId="0A1C0975"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584</w:t>
            </w:r>
          </w:p>
        </w:tc>
        <w:tc>
          <w:tcPr>
            <w:tcW w:w="1354" w:type="dxa"/>
            <w:vAlign w:val="center"/>
          </w:tcPr>
          <w:p w14:paraId="70A38FF6"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580</w:t>
            </w:r>
          </w:p>
        </w:tc>
        <w:tc>
          <w:tcPr>
            <w:tcW w:w="1355" w:type="dxa"/>
            <w:vAlign w:val="center"/>
          </w:tcPr>
          <w:p w14:paraId="4DD6D4FD"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608</w:t>
            </w:r>
          </w:p>
        </w:tc>
      </w:tr>
      <w:tr w:rsidR="003F6D20" w:rsidRPr="00EE335B" w14:paraId="5E670A97" w14:textId="77777777" w:rsidTr="00EE335B">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1266" w:type="dxa"/>
            <w:shd w:val="clear" w:color="auto" w:fill="FFFFFF" w:themeFill="background1"/>
            <w:vAlign w:val="center"/>
          </w:tcPr>
          <w:p w14:paraId="6CA840CB" w14:textId="77777777" w:rsidR="003F6D20" w:rsidRPr="00EE335B" w:rsidRDefault="003F6D20" w:rsidP="00EE335B">
            <w:pPr>
              <w:pStyle w:val="NoSpacing"/>
              <w:rPr>
                <w:rFonts w:ascii="Times New Roman" w:hAnsi="Times New Roman" w:cs="Times New Roman"/>
                <w:b w:val="0"/>
                <w:color w:val="auto"/>
                <w:sz w:val="14"/>
              </w:rPr>
            </w:pPr>
            <w:r w:rsidRPr="00EE335B">
              <w:rPr>
                <w:rFonts w:ascii="Times New Roman" w:hAnsi="Times New Roman" w:cs="Times New Roman"/>
                <w:b w:val="0"/>
                <w:color w:val="auto"/>
                <w:sz w:val="14"/>
              </w:rPr>
              <w:t>Clearly occupational</w:t>
            </w:r>
          </w:p>
        </w:tc>
        <w:tc>
          <w:tcPr>
            <w:tcW w:w="1354" w:type="dxa"/>
            <w:shd w:val="clear" w:color="auto" w:fill="FFFFFF" w:themeFill="background1"/>
            <w:vAlign w:val="center"/>
          </w:tcPr>
          <w:p w14:paraId="0DCAAE33"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737</w:t>
            </w:r>
          </w:p>
        </w:tc>
        <w:tc>
          <w:tcPr>
            <w:tcW w:w="1354" w:type="dxa"/>
            <w:shd w:val="clear" w:color="auto" w:fill="FFFFFF" w:themeFill="background1"/>
            <w:vAlign w:val="center"/>
          </w:tcPr>
          <w:p w14:paraId="33899725"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719</w:t>
            </w:r>
          </w:p>
        </w:tc>
        <w:tc>
          <w:tcPr>
            <w:tcW w:w="1354" w:type="dxa"/>
            <w:shd w:val="clear" w:color="auto" w:fill="FFFFFF" w:themeFill="background1"/>
            <w:vAlign w:val="center"/>
          </w:tcPr>
          <w:p w14:paraId="40783E42"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726</w:t>
            </w:r>
          </w:p>
        </w:tc>
        <w:tc>
          <w:tcPr>
            <w:tcW w:w="1354" w:type="dxa"/>
            <w:shd w:val="clear" w:color="auto" w:fill="FFFFFF" w:themeFill="background1"/>
            <w:vAlign w:val="center"/>
          </w:tcPr>
          <w:p w14:paraId="5FF93F51"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766</w:t>
            </w:r>
          </w:p>
        </w:tc>
        <w:tc>
          <w:tcPr>
            <w:tcW w:w="1354" w:type="dxa"/>
            <w:shd w:val="clear" w:color="auto" w:fill="FFFFFF" w:themeFill="background1"/>
            <w:vAlign w:val="center"/>
          </w:tcPr>
          <w:p w14:paraId="77FF025B"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799</w:t>
            </w:r>
          </w:p>
        </w:tc>
        <w:tc>
          <w:tcPr>
            <w:tcW w:w="1355" w:type="dxa"/>
            <w:shd w:val="clear" w:color="auto" w:fill="FFFFFF" w:themeFill="background1"/>
            <w:vAlign w:val="center"/>
          </w:tcPr>
          <w:p w14:paraId="0D0A4789"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852</w:t>
            </w:r>
          </w:p>
        </w:tc>
      </w:tr>
      <w:tr w:rsidR="003F6D20" w:rsidRPr="00EE335B" w14:paraId="0C0DEA79" w14:textId="77777777" w:rsidTr="00EE335B">
        <w:trPr>
          <w:trHeight w:val="363"/>
          <w:jc w:val="center"/>
        </w:trPr>
        <w:tc>
          <w:tcPr>
            <w:cnfStyle w:val="001000000000" w:firstRow="0" w:lastRow="0" w:firstColumn="1" w:lastColumn="0" w:oddVBand="0" w:evenVBand="0" w:oddHBand="0" w:evenHBand="0" w:firstRowFirstColumn="0" w:firstRowLastColumn="0" w:lastRowFirstColumn="0" w:lastRowLastColumn="0"/>
            <w:tcW w:w="1266" w:type="dxa"/>
            <w:shd w:val="clear" w:color="auto" w:fill="DAEEF3" w:themeFill="accent5" w:themeFillTint="33"/>
            <w:vAlign w:val="center"/>
          </w:tcPr>
          <w:p w14:paraId="320E290F" w14:textId="77777777" w:rsidR="003F6D20" w:rsidRPr="00EE335B" w:rsidRDefault="003F6D20" w:rsidP="00EE335B">
            <w:pPr>
              <w:pStyle w:val="NoSpacing"/>
              <w:rPr>
                <w:rFonts w:ascii="Times New Roman" w:hAnsi="Times New Roman" w:cs="Times New Roman"/>
                <w:b w:val="0"/>
                <w:color w:val="auto"/>
                <w:sz w:val="14"/>
              </w:rPr>
            </w:pPr>
            <w:r w:rsidRPr="00EE335B">
              <w:rPr>
                <w:rFonts w:ascii="Times New Roman" w:hAnsi="Times New Roman" w:cs="Times New Roman"/>
                <w:b w:val="0"/>
                <w:color w:val="auto"/>
                <w:sz w:val="14"/>
              </w:rPr>
              <w:t>Possibly occupational</w:t>
            </w:r>
          </w:p>
        </w:tc>
        <w:tc>
          <w:tcPr>
            <w:tcW w:w="1354" w:type="dxa"/>
            <w:vAlign w:val="center"/>
          </w:tcPr>
          <w:p w14:paraId="6449F4FF"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250</w:t>
            </w:r>
          </w:p>
        </w:tc>
        <w:tc>
          <w:tcPr>
            <w:tcW w:w="1354" w:type="dxa"/>
            <w:vAlign w:val="center"/>
          </w:tcPr>
          <w:p w14:paraId="0448BE98"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248</w:t>
            </w:r>
          </w:p>
        </w:tc>
        <w:tc>
          <w:tcPr>
            <w:tcW w:w="1354" w:type="dxa"/>
            <w:vAlign w:val="center"/>
          </w:tcPr>
          <w:p w14:paraId="75C48C88"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246</w:t>
            </w:r>
          </w:p>
        </w:tc>
        <w:tc>
          <w:tcPr>
            <w:tcW w:w="1354" w:type="dxa"/>
            <w:vAlign w:val="center"/>
          </w:tcPr>
          <w:p w14:paraId="105029E8"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215</w:t>
            </w:r>
          </w:p>
        </w:tc>
        <w:tc>
          <w:tcPr>
            <w:tcW w:w="1354" w:type="dxa"/>
            <w:vAlign w:val="center"/>
          </w:tcPr>
          <w:p w14:paraId="6E645D5B"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216</w:t>
            </w:r>
          </w:p>
        </w:tc>
        <w:tc>
          <w:tcPr>
            <w:tcW w:w="1355" w:type="dxa"/>
            <w:vAlign w:val="center"/>
          </w:tcPr>
          <w:p w14:paraId="1B5E4F1E"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220</w:t>
            </w:r>
          </w:p>
        </w:tc>
      </w:tr>
      <w:tr w:rsidR="003F6D20" w:rsidRPr="00EE335B" w14:paraId="135E100E" w14:textId="77777777" w:rsidTr="00EE335B">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1266" w:type="dxa"/>
            <w:shd w:val="clear" w:color="auto" w:fill="FFFFFF" w:themeFill="background1"/>
            <w:vAlign w:val="center"/>
          </w:tcPr>
          <w:p w14:paraId="0CE8DCC2" w14:textId="77777777" w:rsidR="003F6D20" w:rsidRPr="00EE335B" w:rsidRDefault="003F6D20" w:rsidP="00EE335B">
            <w:pPr>
              <w:pStyle w:val="NoSpacing"/>
              <w:rPr>
                <w:rFonts w:ascii="Times New Roman" w:hAnsi="Times New Roman" w:cs="Times New Roman"/>
                <w:b w:val="0"/>
                <w:color w:val="auto"/>
                <w:sz w:val="14"/>
              </w:rPr>
            </w:pPr>
            <w:r w:rsidRPr="00EE335B">
              <w:rPr>
                <w:rFonts w:ascii="Times New Roman" w:hAnsi="Times New Roman" w:cs="Times New Roman"/>
                <w:b w:val="0"/>
                <w:color w:val="auto"/>
                <w:sz w:val="14"/>
              </w:rPr>
              <w:t>Non-occupational</w:t>
            </w:r>
          </w:p>
        </w:tc>
        <w:tc>
          <w:tcPr>
            <w:tcW w:w="1354" w:type="dxa"/>
            <w:shd w:val="clear" w:color="auto" w:fill="FFFFFF" w:themeFill="background1"/>
            <w:vAlign w:val="center"/>
          </w:tcPr>
          <w:p w14:paraId="5C69A5D0"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4,866</w:t>
            </w:r>
          </w:p>
        </w:tc>
        <w:tc>
          <w:tcPr>
            <w:tcW w:w="1354" w:type="dxa"/>
            <w:shd w:val="clear" w:color="auto" w:fill="FFFFFF" w:themeFill="background1"/>
            <w:vAlign w:val="center"/>
          </w:tcPr>
          <w:p w14:paraId="5C0B0443"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4,781</w:t>
            </w:r>
          </w:p>
        </w:tc>
        <w:tc>
          <w:tcPr>
            <w:tcW w:w="1354" w:type="dxa"/>
            <w:shd w:val="clear" w:color="auto" w:fill="FFFFFF" w:themeFill="background1"/>
            <w:vAlign w:val="center"/>
          </w:tcPr>
          <w:p w14:paraId="2DAF672A"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4,581</w:t>
            </w:r>
          </w:p>
        </w:tc>
        <w:tc>
          <w:tcPr>
            <w:tcW w:w="1354" w:type="dxa"/>
            <w:shd w:val="clear" w:color="auto" w:fill="FFFFFF" w:themeFill="background1"/>
            <w:vAlign w:val="center"/>
          </w:tcPr>
          <w:p w14:paraId="3D159485"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4,596</w:t>
            </w:r>
          </w:p>
        </w:tc>
        <w:tc>
          <w:tcPr>
            <w:tcW w:w="1354" w:type="dxa"/>
            <w:shd w:val="clear" w:color="auto" w:fill="FFFFFF" w:themeFill="background1"/>
            <w:vAlign w:val="center"/>
          </w:tcPr>
          <w:p w14:paraId="7FEF791F"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4,906</w:t>
            </w:r>
          </w:p>
        </w:tc>
        <w:tc>
          <w:tcPr>
            <w:tcW w:w="1355" w:type="dxa"/>
            <w:shd w:val="clear" w:color="auto" w:fill="FFFFFF" w:themeFill="background1"/>
            <w:vAlign w:val="center"/>
          </w:tcPr>
          <w:p w14:paraId="21068D0E"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5,170</w:t>
            </w:r>
          </w:p>
        </w:tc>
      </w:tr>
      <w:tr w:rsidR="003F6D20" w:rsidRPr="00EE335B" w14:paraId="22BB6FAF" w14:textId="77777777" w:rsidTr="00EE335B">
        <w:trPr>
          <w:trHeight w:val="363"/>
          <w:jc w:val="center"/>
        </w:trPr>
        <w:tc>
          <w:tcPr>
            <w:cnfStyle w:val="001000000000" w:firstRow="0" w:lastRow="0" w:firstColumn="1" w:lastColumn="0" w:oddVBand="0" w:evenVBand="0" w:oddHBand="0" w:evenHBand="0" w:firstRowFirstColumn="0" w:firstRowLastColumn="0" w:lastRowFirstColumn="0" w:lastRowLastColumn="0"/>
            <w:tcW w:w="1266" w:type="dxa"/>
            <w:tcBorders>
              <w:top w:val="single" w:sz="4" w:space="0" w:color="auto"/>
              <w:bottom w:val="nil"/>
            </w:tcBorders>
            <w:shd w:val="clear" w:color="auto" w:fill="FFFFFF" w:themeFill="background1"/>
            <w:vAlign w:val="center"/>
          </w:tcPr>
          <w:p w14:paraId="1A9AA4E2" w14:textId="77777777" w:rsidR="003F6D20" w:rsidRPr="00EE335B" w:rsidRDefault="003F6D20" w:rsidP="00EE335B">
            <w:pPr>
              <w:rPr>
                <w:rFonts w:cs="Times New Roman"/>
                <w:b w:val="0"/>
                <w:color w:val="215868" w:themeColor="accent5" w:themeShade="80"/>
                <w:sz w:val="14"/>
              </w:rPr>
            </w:pPr>
            <w:r w:rsidRPr="00EE335B">
              <w:rPr>
                <w:rFonts w:cs="Times New Roman"/>
                <w:b w:val="0"/>
                <w:color w:val="215868" w:themeColor="accent5" w:themeShade="80"/>
                <w:sz w:val="14"/>
              </w:rPr>
              <w:t>Total</w:t>
            </w:r>
          </w:p>
        </w:tc>
        <w:tc>
          <w:tcPr>
            <w:tcW w:w="1354" w:type="dxa"/>
            <w:tcBorders>
              <w:top w:val="single" w:sz="4" w:space="0" w:color="auto"/>
              <w:bottom w:val="nil"/>
            </w:tcBorders>
            <w:shd w:val="clear" w:color="auto" w:fill="FFFFFF" w:themeFill="background1"/>
            <w:vAlign w:val="center"/>
          </w:tcPr>
          <w:p w14:paraId="39B423A1"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6,535</w:t>
            </w:r>
          </w:p>
        </w:tc>
        <w:tc>
          <w:tcPr>
            <w:tcW w:w="1354" w:type="dxa"/>
            <w:tcBorders>
              <w:top w:val="single" w:sz="4" w:space="0" w:color="auto"/>
              <w:bottom w:val="nil"/>
            </w:tcBorders>
            <w:shd w:val="clear" w:color="auto" w:fill="FFFFFF" w:themeFill="background1"/>
            <w:vAlign w:val="center"/>
          </w:tcPr>
          <w:p w14:paraId="4EC7B3CD"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6,434</w:t>
            </w:r>
          </w:p>
        </w:tc>
        <w:tc>
          <w:tcPr>
            <w:tcW w:w="1354" w:type="dxa"/>
            <w:tcBorders>
              <w:top w:val="single" w:sz="4" w:space="0" w:color="auto"/>
              <w:bottom w:val="nil"/>
            </w:tcBorders>
            <w:shd w:val="clear" w:color="auto" w:fill="FFFFFF" w:themeFill="background1"/>
            <w:vAlign w:val="center"/>
          </w:tcPr>
          <w:p w14:paraId="5E4990EB"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6,170</w:t>
            </w:r>
          </w:p>
        </w:tc>
        <w:tc>
          <w:tcPr>
            <w:tcW w:w="1354" w:type="dxa"/>
            <w:tcBorders>
              <w:top w:val="single" w:sz="4" w:space="0" w:color="auto"/>
              <w:bottom w:val="nil"/>
            </w:tcBorders>
            <w:shd w:val="clear" w:color="auto" w:fill="FFFFFF" w:themeFill="background1"/>
            <w:vAlign w:val="center"/>
          </w:tcPr>
          <w:p w14:paraId="47497238"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6,161</w:t>
            </w:r>
          </w:p>
        </w:tc>
        <w:tc>
          <w:tcPr>
            <w:tcW w:w="1354" w:type="dxa"/>
            <w:tcBorders>
              <w:top w:val="single" w:sz="4" w:space="0" w:color="auto"/>
              <w:bottom w:val="nil"/>
            </w:tcBorders>
            <w:shd w:val="clear" w:color="auto" w:fill="FFFFFF" w:themeFill="background1"/>
            <w:vAlign w:val="center"/>
          </w:tcPr>
          <w:p w14:paraId="67AFA8EE"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6,501</w:t>
            </w:r>
          </w:p>
        </w:tc>
        <w:tc>
          <w:tcPr>
            <w:tcW w:w="1355" w:type="dxa"/>
            <w:tcBorders>
              <w:top w:val="single" w:sz="4" w:space="0" w:color="auto"/>
              <w:bottom w:val="nil"/>
            </w:tcBorders>
            <w:shd w:val="clear" w:color="auto" w:fill="FFFFFF" w:themeFill="background1"/>
            <w:vAlign w:val="center"/>
          </w:tcPr>
          <w:p w14:paraId="58F0A374" w14:textId="77777777" w:rsidR="003F6D20" w:rsidRPr="00EE335B" w:rsidRDefault="003F6D20"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6,850</w:t>
            </w:r>
          </w:p>
        </w:tc>
      </w:tr>
      <w:tr w:rsidR="003F6D20" w:rsidRPr="00EE335B" w14:paraId="2089AD75" w14:textId="77777777" w:rsidTr="00EE335B">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1266" w:type="dxa"/>
            <w:tcBorders>
              <w:top w:val="nil"/>
              <w:left w:val="nil"/>
              <w:bottom w:val="nil"/>
              <w:right w:val="nil"/>
            </w:tcBorders>
            <w:shd w:val="clear" w:color="auto" w:fill="215868" w:themeFill="accent5" w:themeFillShade="80"/>
            <w:vAlign w:val="center"/>
          </w:tcPr>
          <w:p w14:paraId="0BB85E8D" w14:textId="77777777" w:rsidR="003F6D20" w:rsidRPr="00EE335B" w:rsidRDefault="003F6D20" w:rsidP="00EE335B">
            <w:pPr>
              <w:rPr>
                <w:rFonts w:cs="Times New Roman"/>
                <w:b w:val="0"/>
                <w:sz w:val="14"/>
              </w:rPr>
            </w:pPr>
            <w:r w:rsidRPr="00EE335B">
              <w:rPr>
                <w:rFonts w:cs="Times New Roman"/>
                <w:b w:val="0"/>
                <w:sz w:val="14"/>
              </w:rPr>
              <w:t>% Occupational</w:t>
            </w:r>
          </w:p>
        </w:tc>
        <w:tc>
          <w:tcPr>
            <w:tcW w:w="1354" w:type="dxa"/>
            <w:tcBorders>
              <w:top w:val="nil"/>
              <w:left w:val="nil"/>
              <w:bottom w:val="nil"/>
              <w:right w:val="nil"/>
            </w:tcBorders>
            <w:shd w:val="clear" w:color="auto" w:fill="215868" w:themeFill="accent5" w:themeFillShade="80"/>
            <w:vAlign w:val="center"/>
          </w:tcPr>
          <w:p w14:paraId="3B0FEFC2"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25.5%</w:t>
            </w:r>
          </w:p>
        </w:tc>
        <w:tc>
          <w:tcPr>
            <w:tcW w:w="1354" w:type="dxa"/>
            <w:tcBorders>
              <w:top w:val="nil"/>
              <w:left w:val="nil"/>
              <w:bottom w:val="nil"/>
              <w:right w:val="nil"/>
            </w:tcBorders>
            <w:shd w:val="clear" w:color="auto" w:fill="215868" w:themeFill="accent5" w:themeFillShade="80"/>
            <w:vAlign w:val="center"/>
          </w:tcPr>
          <w:p w14:paraId="6D6DC994"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25.7%</w:t>
            </w:r>
          </w:p>
        </w:tc>
        <w:tc>
          <w:tcPr>
            <w:tcW w:w="1354" w:type="dxa"/>
            <w:tcBorders>
              <w:top w:val="nil"/>
              <w:left w:val="nil"/>
              <w:bottom w:val="nil"/>
              <w:right w:val="nil"/>
            </w:tcBorders>
            <w:shd w:val="clear" w:color="auto" w:fill="215868" w:themeFill="accent5" w:themeFillShade="80"/>
            <w:vAlign w:val="center"/>
          </w:tcPr>
          <w:p w14:paraId="27DB2662"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25.8%</w:t>
            </w:r>
          </w:p>
        </w:tc>
        <w:tc>
          <w:tcPr>
            <w:tcW w:w="1354" w:type="dxa"/>
            <w:tcBorders>
              <w:top w:val="nil"/>
              <w:left w:val="nil"/>
              <w:bottom w:val="nil"/>
              <w:right w:val="nil"/>
            </w:tcBorders>
            <w:shd w:val="clear" w:color="auto" w:fill="215868" w:themeFill="accent5" w:themeFillShade="80"/>
            <w:vAlign w:val="center"/>
          </w:tcPr>
          <w:p w14:paraId="1D5C3B92"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25.4%</w:t>
            </w:r>
          </w:p>
        </w:tc>
        <w:tc>
          <w:tcPr>
            <w:tcW w:w="1354" w:type="dxa"/>
            <w:tcBorders>
              <w:top w:val="nil"/>
              <w:left w:val="nil"/>
              <w:bottom w:val="nil"/>
              <w:right w:val="nil"/>
            </w:tcBorders>
            <w:shd w:val="clear" w:color="auto" w:fill="215868" w:themeFill="accent5" w:themeFillShade="80"/>
            <w:vAlign w:val="center"/>
          </w:tcPr>
          <w:p w14:paraId="76660BD4"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24.5%</w:t>
            </w:r>
          </w:p>
        </w:tc>
        <w:tc>
          <w:tcPr>
            <w:tcW w:w="1355" w:type="dxa"/>
            <w:tcBorders>
              <w:top w:val="nil"/>
              <w:left w:val="nil"/>
              <w:bottom w:val="nil"/>
              <w:right w:val="nil"/>
            </w:tcBorders>
            <w:shd w:val="clear" w:color="auto" w:fill="215868" w:themeFill="accent5" w:themeFillShade="80"/>
            <w:vAlign w:val="center"/>
          </w:tcPr>
          <w:p w14:paraId="43E0C245" w14:textId="77777777" w:rsidR="003F6D20" w:rsidRPr="00EE335B" w:rsidRDefault="003F6D20"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EE335B">
              <w:rPr>
                <w:rFonts w:ascii="Times New Roman" w:hAnsi="Times New Roman" w:cs="Times New Roman"/>
                <w:sz w:val="14"/>
              </w:rPr>
              <w:t>24.5%</w:t>
            </w:r>
          </w:p>
        </w:tc>
      </w:tr>
    </w:tbl>
    <w:p w14:paraId="5CD0138E" w14:textId="77777777" w:rsidR="003F6D20" w:rsidRDefault="003F6D20" w:rsidP="003F6D20">
      <w:pPr>
        <w:rPr>
          <w:rFonts w:cs="Times New Roman"/>
          <w:i/>
          <w:sz w:val="14"/>
        </w:rPr>
      </w:pPr>
      <w:r w:rsidRPr="00EE335B">
        <w:rPr>
          <w:rFonts w:cs="Times New Roman"/>
          <w:i/>
          <w:sz w:val="14"/>
        </w:rPr>
        <w:t>Source: Management Information System</w:t>
      </w:r>
    </w:p>
    <w:p w14:paraId="1DA99688" w14:textId="77777777" w:rsidR="001C65FC" w:rsidRPr="00EE335B" w:rsidRDefault="001C65FC" w:rsidP="003F6D20">
      <w:pPr>
        <w:rPr>
          <w:rFonts w:cs="Times New Roman"/>
          <w:sz w:val="20"/>
        </w:rPr>
      </w:pPr>
    </w:p>
    <w:p w14:paraId="358B1550" w14:textId="77777777" w:rsidR="003F6D20" w:rsidRDefault="003F6D20" w:rsidP="003D4C4D">
      <w:pPr>
        <w:pStyle w:val="Heading4"/>
      </w:pPr>
      <w:r w:rsidRPr="00C20BA0">
        <w:t>Credit</w:t>
      </w:r>
      <w:r w:rsidRPr="00EE335B">
        <w:t xml:space="preserve"> </w:t>
      </w:r>
      <w:r w:rsidRPr="00C20BA0">
        <w:t xml:space="preserve">Section Offerings by Distance Education Status </w:t>
      </w:r>
    </w:p>
    <w:p w14:paraId="33BD7907" w14:textId="016F55BB" w:rsidR="003F6D20" w:rsidRPr="00EE335B" w:rsidRDefault="003F6D20" w:rsidP="00B71792">
      <w:pPr>
        <w:pStyle w:val="Normalwithspacebetween"/>
      </w:pPr>
      <w:r w:rsidRPr="00EE335B">
        <w:t>Distance Education courses at Santa Monica College are identified as courses offered exclusively online or in a hybrid mode (blend of face-to-face and online instruction). Over the last six years, the number of credit section offerings that were offered via distance education increased by 25.7</w:t>
      </w:r>
      <w:r w:rsidR="00B5133B">
        <w:t xml:space="preserve"> percent</w:t>
      </w:r>
      <w:r w:rsidRPr="00EE335B">
        <w:t>, from 795 in 2009-2010 to 999 in 2014-2015. In 2014-2015, the proportion of credit section offerings that were distance education was 14.6</w:t>
      </w:r>
      <w:r w:rsidR="00B5133B">
        <w:t xml:space="preserve"> percent</w:t>
      </w:r>
      <w:r w:rsidRPr="00EE335B">
        <w:t>, an increase of 2.4</w:t>
      </w:r>
      <w:r w:rsidR="00B5133B">
        <w:t xml:space="preserve"> percent</w:t>
      </w:r>
      <w:r w:rsidRPr="00EE335B">
        <w:t xml:space="preserve"> when compared to the proportion of distance education section offerings in 2009-2010. </w:t>
      </w:r>
    </w:p>
    <w:p w14:paraId="06D8C8A7" w14:textId="77777777" w:rsidR="003F6D20" w:rsidRPr="00EE335B" w:rsidRDefault="003F6D20" w:rsidP="003F6D20">
      <w:pPr>
        <w:rPr>
          <w:rFonts w:cs="Times New Roman"/>
        </w:rPr>
      </w:pPr>
      <w:r w:rsidRPr="00EE335B">
        <w:rPr>
          <w:rFonts w:cs="Times New Roman"/>
          <w:noProof/>
          <w:sz w:val="32"/>
        </w:rPr>
        <w:drawing>
          <wp:inline distT="0" distB="0" distL="0" distR="0" wp14:anchorId="4C4E34B3" wp14:editId="6F48A77E">
            <wp:extent cx="5486400" cy="2626157"/>
            <wp:effectExtent l="0" t="0" r="0" b="317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0EA99D0" w14:textId="0E00B055" w:rsidR="00C20BA0" w:rsidRPr="001C65FC" w:rsidRDefault="003F6D20">
      <w:pPr>
        <w:rPr>
          <w:rFonts w:cs="Times New Roman"/>
          <w:sz w:val="20"/>
        </w:rPr>
      </w:pPr>
      <w:r w:rsidRPr="00EE335B">
        <w:rPr>
          <w:rFonts w:cs="Times New Roman"/>
          <w:i/>
          <w:sz w:val="14"/>
        </w:rPr>
        <w:t>Source: Management Information System</w:t>
      </w:r>
      <w:r w:rsidR="00C20BA0">
        <w:rPr>
          <w:rFonts w:cs="Times New Roman"/>
          <w:sz w:val="48"/>
        </w:rPr>
        <w:br w:type="page"/>
      </w:r>
    </w:p>
    <w:p w14:paraId="5B6F2F16" w14:textId="3C749E53" w:rsidR="003F6D20" w:rsidRPr="00EE335B" w:rsidRDefault="003F6D20" w:rsidP="00FE1147">
      <w:pPr>
        <w:pStyle w:val="Heading1"/>
      </w:pPr>
      <w:r w:rsidRPr="00EE335B">
        <w:lastRenderedPageBreak/>
        <w:t>Student Achievement: Awards and Transfer</w:t>
      </w:r>
    </w:p>
    <w:p w14:paraId="536E5022" w14:textId="77777777" w:rsidR="003F6D20" w:rsidRPr="00C20BA0" w:rsidRDefault="003F6D20" w:rsidP="00B71792">
      <w:pPr>
        <w:pStyle w:val="Normalwithspacebetween"/>
      </w:pPr>
      <w:r w:rsidRPr="00C20BA0">
        <w:t xml:space="preserve">To ensure educational quality, Santa Monica College engages in a systematic process of assessing institutional effectiveness. The process involves analyses of longitudinal data related to the fundamental areas of the College, including student achievement. Each year, the College monitors its performance on over 20 student learning and success metrics, evaluating performance against institution-set standards and aspirational target goals. </w:t>
      </w:r>
    </w:p>
    <w:p w14:paraId="4A050CD5" w14:textId="77777777" w:rsidR="003F6D20" w:rsidRPr="00C20BA0" w:rsidRDefault="003F6D20" w:rsidP="00B71792">
      <w:pPr>
        <w:pStyle w:val="Normalwithspacebetween"/>
      </w:pPr>
      <w:r w:rsidRPr="00C20BA0">
        <w:t>The institution-set standards for student achievement metrics were initially set by the Institutional Effectiveness Committee in spring of 2013. To define the standards, a common formula based upon the percentage of the average performance over several baseline years was initially applied to all metrics. Each year, the committee as well as central stakeholders review the appropriateness of each standard and adjust standards in cases where the standard are deemed to be too low or unreasonably high while considering external factors that may affect performance on the metrics (i.e., budget cuts, changes in enrollment priority policies, implementation of new programs).</w:t>
      </w:r>
    </w:p>
    <w:p w14:paraId="20A57ED6" w14:textId="48FB628A" w:rsidR="00720091" w:rsidRDefault="003F6D20" w:rsidP="00B71792">
      <w:pPr>
        <w:pStyle w:val="Normalwithspacebetween"/>
      </w:pPr>
      <w:r w:rsidRPr="00C20BA0">
        <w:t xml:space="preserve">The College publishes its performance on metrics, evaluated against the institution-set standards and target goals, on the </w:t>
      </w:r>
      <w:r w:rsidR="00DC7C37">
        <w:fldChar w:fldCharType="begin"/>
      </w:r>
      <w:r w:rsidR="00DC7C37">
        <w:instrText xml:space="preserve"> HYPERLINK "</w:instrText>
      </w:r>
      <w:bookmarkStart w:id="4" w:name="_GoBack"/>
      <w:r w:rsidR="00EC5577">
        <w:instrText>http://www.smc.edu/AboutSMC/Accreditation/Documents/2016/Introduction/</w:instrText>
      </w:r>
      <w:bookmarkEnd w:id="4"/>
      <w:r w:rsidR="00DC7C37">
        <w:instrText xml:space="preserve">2016_Dashboard_Final.pdf" </w:instrText>
      </w:r>
      <w:r w:rsidR="00DC7C37">
        <w:fldChar w:fldCharType="separate"/>
      </w:r>
      <w:r w:rsidRPr="00EC4246">
        <w:rPr>
          <w:rStyle w:val="Hyperlink"/>
        </w:rPr>
        <w:t>Institutional Effectiveness Dashboard</w:t>
      </w:r>
      <w:r w:rsidR="00DC7C37">
        <w:rPr>
          <w:rStyle w:val="Hyperlink"/>
        </w:rPr>
        <w:fldChar w:fldCharType="end"/>
      </w:r>
      <w:r w:rsidRPr="00C20BA0">
        <w:t>.</w:t>
      </w:r>
      <w:r w:rsidR="00720091">
        <w:rPr>
          <w:rStyle w:val="EndnoteReference"/>
        </w:rPr>
        <w:endnoteReference w:id="1"/>
      </w:r>
    </w:p>
    <w:p w14:paraId="68FF2ED2" w14:textId="07FFADD7" w:rsidR="00720091" w:rsidRPr="00C20BA0" w:rsidRDefault="00720091" w:rsidP="00B71792">
      <w:pPr>
        <w:pStyle w:val="Normalwithspacebetween"/>
      </w:pPr>
      <w:r w:rsidRPr="00C20BA0">
        <w:t>The following section describes the College’s performance on the student achievement metrics related to awards and transfer.</w:t>
      </w:r>
    </w:p>
    <w:p w14:paraId="3624461A" w14:textId="77777777" w:rsidR="00720091" w:rsidRPr="00EE335B" w:rsidRDefault="00720091" w:rsidP="00C20BA0">
      <w:pPr>
        <w:pStyle w:val="Heading3"/>
      </w:pPr>
      <w:r w:rsidRPr="00EE335B">
        <w:t xml:space="preserve">Degrees and </w:t>
      </w:r>
      <w:r w:rsidRPr="00C20BA0">
        <w:t>Certificates</w:t>
      </w:r>
    </w:p>
    <w:p w14:paraId="28A21516" w14:textId="5C7998FB" w:rsidR="00720091" w:rsidRDefault="00720091" w:rsidP="00B71792">
      <w:pPr>
        <w:pStyle w:val="Normalwithspacebetween"/>
      </w:pPr>
      <w:r w:rsidRPr="00EE335B">
        <w:t>Over the last six academic years, the number of associate degrees awarded at Santa Monica College increased by 57.7</w:t>
      </w:r>
      <w:r>
        <w:t xml:space="preserve"> percent</w:t>
      </w:r>
      <w:r w:rsidRPr="00EE335B">
        <w:t>, from 1,409 in 2009-2010 to 2,222 in 2014-2015. The increase in degrees awarded in 2014-2015 can be directly attributed to the successful implementation of the Auto-Award Degree Initiative that was implemented during the 2014-2015 academic year. The initiative involved a regressive degree audit for all former students who stopped attending the College during the 2013-2014 academic year, identifying potential candidates for graduate based on coursework completed at the College. Evaluators then reviewed student transcripts to verify that the potential candidates were indeed qualified to receive a degree/certificate, and contacted these students to inform them of the award they earned. In 2014-2015, a total of 791 degrees (or 35.6</w:t>
      </w:r>
      <w:r>
        <w:t xml:space="preserve"> percent</w:t>
      </w:r>
      <w:r w:rsidRPr="00EE335B">
        <w:t xml:space="preserve"> of total degrees awarded) were auto-awarded. </w:t>
      </w:r>
    </w:p>
    <w:p w14:paraId="6A9AF4AE" w14:textId="77777777" w:rsidR="00720091" w:rsidRPr="00EE335B" w:rsidRDefault="00720091" w:rsidP="001C65FC">
      <w:pPr>
        <w:suppressLineNumbers/>
        <w:suppressAutoHyphens/>
        <w:jc w:val="center"/>
        <w:rPr>
          <w:rFonts w:cs="Times New Roman"/>
          <w:sz w:val="20"/>
        </w:rPr>
      </w:pPr>
      <w:r w:rsidRPr="00EE335B">
        <w:rPr>
          <w:rFonts w:cs="Times New Roman"/>
          <w:sz w:val="20"/>
        </w:rPr>
        <w:t>Associate Degrees Awarded, 2009-2010 to 2014-2015</w:t>
      </w:r>
    </w:p>
    <w:tbl>
      <w:tblPr>
        <w:tblStyle w:val="GridTable5Dark-Accent51"/>
        <w:tblW w:w="0" w:type="auto"/>
        <w:jc w:val="center"/>
        <w:tblLook w:val="04A0" w:firstRow="1" w:lastRow="0" w:firstColumn="1" w:lastColumn="0" w:noHBand="0" w:noVBand="1"/>
      </w:tblPr>
      <w:tblGrid>
        <w:gridCol w:w="1863"/>
        <w:gridCol w:w="1226"/>
        <w:gridCol w:w="1225"/>
        <w:gridCol w:w="1226"/>
        <w:gridCol w:w="1225"/>
        <w:gridCol w:w="1225"/>
        <w:gridCol w:w="1226"/>
      </w:tblGrid>
      <w:tr w:rsidR="00720091" w:rsidRPr="00EE335B" w14:paraId="5D60AC05" w14:textId="77777777" w:rsidTr="001C65FC">
        <w:trPr>
          <w:cnfStyle w:val="100000000000" w:firstRow="1" w:lastRow="0" w:firstColumn="0" w:lastColumn="0" w:oddVBand="0" w:evenVBand="0" w:oddHBand="0"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890" w:type="dxa"/>
            <w:tcBorders>
              <w:top w:val="nil"/>
              <w:left w:val="nil"/>
              <w:bottom w:val="nil"/>
            </w:tcBorders>
          </w:tcPr>
          <w:p w14:paraId="55A9A9DA" w14:textId="77777777" w:rsidR="00720091" w:rsidRPr="00EE335B" w:rsidRDefault="00720091" w:rsidP="001C65FC">
            <w:pPr>
              <w:suppressLineNumbers/>
              <w:suppressAutoHyphens/>
              <w:rPr>
                <w:rFonts w:cs="Times New Roman"/>
                <w:b w:val="0"/>
                <w:sz w:val="16"/>
              </w:rPr>
            </w:pPr>
          </w:p>
        </w:tc>
        <w:tc>
          <w:tcPr>
            <w:tcW w:w="1243" w:type="dxa"/>
            <w:tcBorders>
              <w:top w:val="nil"/>
              <w:bottom w:val="single" w:sz="4" w:space="0" w:color="FFFFFF" w:themeColor="background1"/>
            </w:tcBorders>
            <w:vAlign w:val="center"/>
          </w:tcPr>
          <w:p w14:paraId="68E5E696" w14:textId="77777777" w:rsidR="00720091" w:rsidRPr="00EE335B" w:rsidRDefault="00720091" w:rsidP="001C65FC">
            <w:pPr>
              <w:pStyle w:val="NoSpacing"/>
              <w:suppressLineNumbers/>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2009-2010</w:t>
            </w:r>
          </w:p>
        </w:tc>
        <w:tc>
          <w:tcPr>
            <w:tcW w:w="1243" w:type="dxa"/>
            <w:tcBorders>
              <w:top w:val="nil"/>
              <w:bottom w:val="single" w:sz="4" w:space="0" w:color="FFFFFF" w:themeColor="background1"/>
            </w:tcBorders>
            <w:vAlign w:val="center"/>
          </w:tcPr>
          <w:p w14:paraId="56CBF2E4" w14:textId="77777777" w:rsidR="00720091" w:rsidRPr="00EE335B" w:rsidRDefault="00720091" w:rsidP="001C65FC">
            <w:pPr>
              <w:pStyle w:val="NoSpacing"/>
              <w:suppressLineNumbers/>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2010-2011</w:t>
            </w:r>
          </w:p>
        </w:tc>
        <w:tc>
          <w:tcPr>
            <w:tcW w:w="1244" w:type="dxa"/>
            <w:tcBorders>
              <w:top w:val="nil"/>
              <w:bottom w:val="single" w:sz="4" w:space="0" w:color="FFFFFF" w:themeColor="background1"/>
            </w:tcBorders>
            <w:vAlign w:val="center"/>
          </w:tcPr>
          <w:p w14:paraId="6931EBF8" w14:textId="77777777" w:rsidR="00720091" w:rsidRPr="00EE335B" w:rsidRDefault="00720091" w:rsidP="001C65FC">
            <w:pPr>
              <w:pStyle w:val="NoSpacing"/>
              <w:suppressLineNumbers/>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2011-2012</w:t>
            </w:r>
          </w:p>
        </w:tc>
        <w:tc>
          <w:tcPr>
            <w:tcW w:w="1243" w:type="dxa"/>
            <w:tcBorders>
              <w:top w:val="nil"/>
              <w:bottom w:val="single" w:sz="4" w:space="0" w:color="FFFFFF" w:themeColor="background1"/>
            </w:tcBorders>
            <w:vAlign w:val="center"/>
          </w:tcPr>
          <w:p w14:paraId="3B366C73" w14:textId="77777777" w:rsidR="00720091" w:rsidRPr="00EE335B" w:rsidRDefault="00720091" w:rsidP="001C65FC">
            <w:pPr>
              <w:pStyle w:val="NoSpacing"/>
              <w:suppressLineNumbers/>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2012-2013</w:t>
            </w:r>
          </w:p>
        </w:tc>
        <w:tc>
          <w:tcPr>
            <w:tcW w:w="1243" w:type="dxa"/>
            <w:tcBorders>
              <w:top w:val="nil"/>
              <w:bottom w:val="single" w:sz="4" w:space="0" w:color="FFFFFF" w:themeColor="background1"/>
            </w:tcBorders>
            <w:vAlign w:val="center"/>
          </w:tcPr>
          <w:p w14:paraId="31EB4C13" w14:textId="77777777" w:rsidR="00720091" w:rsidRPr="00EE335B" w:rsidRDefault="00720091" w:rsidP="001C65FC">
            <w:pPr>
              <w:pStyle w:val="NoSpacing"/>
              <w:suppressLineNumbers/>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2013-2014</w:t>
            </w:r>
          </w:p>
        </w:tc>
        <w:tc>
          <w:tcPr>
            <w:tcW w:w="1244" w:type="dxa"/>
            <w:tcBorders>
              <w:top w:val="nil"/>
              <w:bottom w:val="single" w:sz="4" w:space="0" w:color="FFFFFF" w:themeColor="background1"/>
              <w:right w:val="nil"/>
            </w:tcBorders>
            <w:vAlign w:val="center"/>
          </w:tcPr>
          <w:p w14:paraId="2AD235A4" w14:textId="77777777" w:rsidR="00720091" w:rsidRPr="00EE335B" w:rsidRDefault="00720091" w:rsidP="001C65FC">
            <w:pPr>
              <w:pStyle w:val="NoSpacing"/>
              <w:suppressLineNumbers/>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2014-2015</w:t>
            </w:r>
          </w:p>
        </w:tc>
      </w:tr>
      <w:tr w:rsidR="00720091" w:rsidRPr="00EE335B" w14:paraId="2428B7D7" w14:textId="77777777" w:rsidTr="001C65FC">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vAlign w:val="center"/>
          </w:tcPr>
          <w:p w14:paraId="60B414AE" w14:textId="77777777" w:rsidR="00720091" w:rsidRPr="00EE335B" w:rsidRDefault="00720091" w:rsidP="001C65FC">
            <w:pPr>
              <w:pStyle w:val="NoSpacing"/>
              <w:suppressLineNumbers/>
              <w:suppressAutoHyphens/>
              <w:rPr>
                <w:rFonts w:ascii="Times New Roman" w:hAnsi="Times New Roman" w:cs="Times New Roman"/>
                <w:b w:val="0"/>
                <w:color w:val="auto"/>
                <w:sz w:val="14"/>
              </w:rPr>
            </w:pPr>
            <w:r w:rsidRPr="00EE335B">
              <w:rPr>
                <w:rFonts w:ascii="Times New Roman" w:hAnsi="Times New Roman" w:cs="Times New Roman"/>
                <w:b w:val="0"/>
                <w:color w:val="auto"/>
                <w:sz w:val="14"/>
              </w:rPr>
              <w:t>Associate in Science for Transfer (A.S.-T) Degree</w:t>
            </w:r>
          </w:p>
        </w:tc>
        <w:tc>
          <w:tcPr>
            <w:tcW w:w="1243" w:type="dxa"/>
            <w:shd w:val="clear" w:color="auto" w:fill="auto"/>
            <w:vAlign w:val="center"/>
          </w:tcPr>
          <w:p w14:paraId="778A4162" w14:textId="77777777" w:rsidR="00720091" w:rsidRPr="00EE335B" w:rsidRDefault="00720091" w:rsidP="001C65FC">
            <w:pPr>
              <w:pStyle w:val="NoSpacing"/>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0</w:t>
            </w:r>
          </w:p>
        </w:tc>
        <w:tc>
          <w:tcPr>
            <w:tcW w:w="1243" w:type="dxa"/>
            <w:shd w:val="clear" w:color="auto" w:fill="auto"/>
            <w:vAlign w:val="center"/>
          </w:tcPr>
          <w:p w14:paraId="0DFB3534" w14:textId="77777777" w:rsidR="00720091" w:rsidRPr="00EE335B" w:rsidRDefault="00720091" w:rsidP="001C65FC">
            <w:pPr>
              <w:pStyle w:val="NoSpacing"/>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0</w:t>
            </w:r>
          </w:p>
        </w:tc>
        <w:tc>
          <w:tcPr>
            <w:tcW w:w="1244" w:type="dxa"/>
            <w:shd w:val="clear" w:color="auto" w:fill="auto"/>
            <w:vAlign w:val="center"/>
          </w:tcPr>
          <w:p w14:paraId="7934D53E" w14:textId="77777777" w:rsidR="00720091" w:rsidRPr="00EE335B" w:rsidRDefault="00720091" w:rsidP="001C65FC">
            <w:pPr>
              <w:pStyle w:val="NoSpacing"/>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3</w:t>
            </w:r>
          </w:p>
        </w:tc>
        <w:tc>
          <w:tcPr>
            <w:tcW w:w="1243" w:type="dxa"/>
            <w:shd w:val="clear" w:color="auto" w:fill="auto"/>
            <w:vAlign w:val="center"/>
          </w:tcPr>
          <w:p w14:paraId="7AE5A50E" w14:textId="77777777" w:rsidR="00720091" w:rsidRPr="00EE335B" w:rsidRDefault="00720091" w:rsidP="001C65FC">
            <w:pPr>
              <w:pStyle w:val="NoSpacing"/>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54</w:t>
            </w:r>
          </w:p>
        </w:tc>
        <w:tc>
          <w:tcPr>
            <w:tcW w:w="1243" w:type="dxa"/>
            <w:shd w:val="clear" w:color="auto" w:fill="auto"/>
            <w:vAlign w:val="center"/>
          </w:tcPr>
          <w:p w14:paraId="56F9FBE7" w14:textId="77777777" w:rsidR="00720091" w:rsidRPr="00EE335B" w:rsidRDefault="00720091" w:rsidP="001C65FC">
            <w:pPr>
              <w:pStyle w:val="NoSpacing"/>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84</w:t>
            </w:r>
          </w:p>
        </w:tc>
        <w:tc>
          <w:tcPr>
            <w:tcW w:w="1244" w:type="dxa"/>
            <w:shd w:val="clear" w:color="auto" w:fill="auto"/>
            <w:vAlign w:val="center"/>
          </w:tcPr>
          <w:p w14:paraId="4F41A376" w14:textId="77777777" w:rsidR="00720091" w:rsidRPr="00EE335B" w:rsidRDefault="00720091" w:rsidP="001C65FC">
            <w:pPr>
              <w:pStyle w:val="NoSpacing"/>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176</w:t>
            </w:r>
          </w:p>
        </w:tc>
      </w:tr>
      <w:tr w:rsidR="00720091" w:rsidRPr="00EE335B" w14:paraId="203ECC7D" w14:textId="77777777" w:rsidTr="001C65FC">
        <w:trPr>
          <w:trHeight w:val="331"/>
          <w:jc w:val="center"/>
        </w:trPr>
        <w:tc>
          <w:tcPr>
            <w:cnfStyle w:val="001000000000" w:firstRow="0" w:lastRow="0" w:firstColumn="1" w:lastColumn="0" w:oddVBand="0" w:evenVBand="0" w:oddHBand="0" w:evenHBand="0" w:firstRowFirstColumn="0" w:firstRowLastColumn="0" w:lastRowFirstColumn="0" w:lastRowLastColumn="0"/>
            <w:tcW w:w="1890" w:type="dxa"/>
            <w:shd w:val="clear" w:color="auto" w:fill="DAEEF3" w:themeFill="accent5" w:themeFillTint="33"/>
            <w:vAlign w:val="center"/>
          </w:tcPr>
          <w:p w14:paraId="49218201" w14:textId="77777777" w:rsidR="00720091" w:rsidRPr="00EE335B" w:rsidRDefault="00720091" w:rsidP="001C65FC">
            <w:pPr>
              <w:pStyle w:val="NoSpacing"/>
              <w:suppressLineNumbers/>
              <w:suppressAutoHyphens/>
              <w:rPr>
                <w:rFonts w:ascii="Times New Roman" w:hAnsi="Times New Roman" w:cs="Times New Roman"/>
                <w:b w:val="0"/>
                <w:color w:val="auto"/>
                <w:sz w:val="14"/>
              </w:rPr>
            </w:pPr>
            <w:r w:rsidRPr="00EE335B">
              <w:rPr>
                <w:rFonts w:ascii="Times New Roman" w:hAnsi="Times New Roman" w:cs="Times New Roman"/>
                <w:b w:val="0"/>
                <w:color w:val="auto"/>
                <w:sz w:val="14"/>
              </w:rPr>
              <w:t>Associate in Arts for Transfer (A.A.-T) Degree</w:t>
            </w:r>
          </w:p>
        </w:tc>
        <w:tc>
          <w:tcPr>
            <w:tcW w:w="1243" w:type="dxa"/>
            <w:vAlign w:val="center"/>
          </w:tcPr>
          <w:p w14:paraId="25854478" w14:textId="77777777" w:rsidR="00720091" w:rsidRPr="00EE335B" w:rsidRDefault="00720091" w:rsidP="001C65FC">
            <w:pPr>
              <w:pStyle w:val="NoSpacing"/>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0</w:t>
            </w:r>
          </w:p>
        </w:tc>
        <w:tc>
          <w:tcPr>
            <w:tcW w:w="1243" w:type="dxa"/>
            <w:vAlign w:val="center"/>
          </w:tcPr>
          <w:p w14:paraId="04A07CD9" w14:textId="77777777" w:rsidR="00720091" w:rsidRPr="00EE335B" w:rsidRDefault="00720091" w:rsidP="001C65FC">
            <w:pPr>
              <w:pStyle w:val="NoSpacing"/>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0</w:t>
            </w:r>
          </w:p>
        </w:tc>
        <w:tc>
          <w:tcPr>
            <w:tcW w:w="1244" w:type="dxa"/>
            <w:vAlign w:val="center"/>
          </w:tcPr>
          <w:p w14:paraId="1BE24EBA" w14:textId="77777777" w:rsidR="00720091" w:rsidRPr="00EE335B" w:rsidRDefault="00720091" w:rsidP="001C65FC">
            <w:pPr>
              <w:pStyle w:val="NoSpacing"/>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0</w:t>
            </w:r>
          </w:p>
        </w:tc>
        <w:tc>
          <w:tcPr>
            <w:tcW w:w="1243" w:type="dxa"/>
            <w:vAlign w:val="center"/>
          </w:tcPr>
          <w:p w14:paraId="53F2EA65" w14:textId="77777777" w:rsidR="00720091" w:rsidRPr="00EE335B" w:rsidRDefault="00720091" w:rsidP="001C65FC">
            <w:pPr>
              <w:pStyle w:val="NoSpacing"/>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23</w:t>
            </w:r>
          </w:p>
        </w:tc>
        <w:tc>
          <w:tcPr>
            <w:tcW w:w="1243" w:type="dxa"/>
            <w:vAlign w:val="center"/>
          </w:tcPr>
          <w:p w14:paraId="291700B4" w14:textId="77777777" w:rsidR="00720091" w:rsidRPr="00EE335B" w:rsidRDefault="00720091" w:rsidP="001C65FC">
            <w:pPr>
              <w:pStyle w:val="NoSpacing"/>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26</w:t>
            </w:r>
          </w:p>
        </w:tc>
        <w:tc>
          <w:tcPr>
            <w:tcW w:w="1244" w:type="dxa"/>
            <w:vAlign w:val="center"/>
          </w:tcPr>
          <w:p w14:paraId="7282D553" w14:textId="77777777" w:rsidR="00720091" w:rsidRPr="00EE335B" w:rsidRDefault="00720091" w:rsidP="001C65FC">
            <w:pPr>
              <w:pStyle w:val="NoSpacing"/>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111</w:t>
            </w:r>
          </w:p>
        </w:tc>
      </w:tr>
      <w:tr w:rsidR="00720091" w:rsidRPr="00EE335B" w14:paraId="3B71199E" w14:textId="77777777" w:rsidTr="001C65FC">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vAlign w:val="center"/>
          </w:tcPr>
          <w:p w14:paraId="24378A4A" w14:textId="77777777" w:rsidR="00720091" w:rsidRPr="00EE335B" w:rsidRDefault="00720091" w:rsidP="001C65FC">
            <w:pPr>
              <w:pStyle w:val="NoSpacing"/>
              <w:suppressLineNumbers/>
              <w:suppressAutoHyphens/>
              <w:rPr>
                <w:rFonts w:ascii="Times New Roman" w:hAnsi="Times New Roman" w:cs="Times New Roman"/>
                <w:b w:val="0"/>
                <w:color w:val="auto"/>
                <w:sz w:val="14"/>
              </w:rPr>
            </w:pPr>
            <w:r w:rsidRPr="00EE335B">
              <w:rPr>
                <w:rFonts w:ascii="Times New Roman" w:hAnsi="Times New Roman" w:cs="Times New Roman"/>
                <w:b w:val="0"/>
                <w:color w:val="auto"/>
                <w:sz w:val="14"/>
              </w:rPr>
              <w:t>Associate of Science (A.S.) Degree</w:t>
            </w:r>
          </w:p>
        </w:tc>
        <w:tc>
          <w:tcPr>
            <w:tcW w:w="1243" w:type="dxa"/>
            <w:shd w:val="clear" w:color="auto" w:fill="auto"/>
            <w:vAlign w:val="center"/>
          </w:tcPr>
          <w:p w14:paraId="01C0F92D" w14:textId="77777777" w:rsidR="00720091" w:rsidRPr="00EE335B" w:rsidRDefault="00720091" w:rsidP="001C65FC">
            <w:pPr>
              <w:pStyle w:val="NoSpacing"/>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0</w:t>
            </w:r>
          </w:p>
        </w:tc>
        <w:tc>
          <w:tcPr>
            <w:tcW w:w="1243" w:type="dxa"/>
            <w:shd w:val="clear" w:color="auto" w:fill="auto"/>
            <w:vAlign w:val="center"/>
          </w:tcPr>
          <w:p w14:paraId="6323E0FA" w14:textId="77777777" w:rsidR="00720091" w:rsidRPr="00EE335B" w:rsidRDefault="00720091" w:rsidP="001C65FC">
            <w:pPr>
              <w:pStyle w:val="NoSpacing"/>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0</w:t>
            </w:r>
          </w:p>
        </w:tc>
        <w:tc>
          <w:tcPr>
            <w:tcW w:w="1244" w:type="dxa"/>
            <w:shd w:val="clear" w:color="auto" w:fill="auto"/>
            <w:vAlign w:val="center"/>
          </w:tcPr>
          <w:p w14:paraId="727AC869" w14:textId="77777777" w:rsidR="00720091" w:rsidRPr="00EE335B" w:rsidRDefault="00720091" w:rsidP="001C65FC">
            <w:pPr>
              <w:pStyle w:val="NoSpacing"/>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w:t>
            </w:r>
          </w:p>
        </w:tc>
        <w:tc>
          <w:tcPr>
            <w:tcW w:w="1243" w:type="dxa"/>
            <w:shd w:val="clear" w:color="auto" w:fill="auto"/>
            <w:vAlign w:val="center"/>
          </w:tcPr>
          <w:p w14:paraId="6B676312" w14:textId="77777777" w:rsidR="00720091" w:rsidRPr="00EE335B" w:rsidRDefault="00720091" w:rsidP="001C65FC">
            <w:pPr>
              <w:pStyle w:val="NoSpacing"/>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52</w:t>
            </w:r>
          </w:p>
        </w:tc>
        <w:tc>
          <w:tcPr>
            <w:tcW w:w="1243" w:type="dxa"/>
            <w:shd w:val="clear" w:color="auto" w:fill="auto"/>
            <w:vAlign w:val="center"/>
          </w:tcPr>
          <w:p w14:paraId="78509E59" w14:textId="77777777" w:rsidR="00720091" w:rsidRPr="00EE335B" w:rsidRDefault="00720091" w:rsidP="001C65FC">
            <w:pPr>
              <w:pStyle w:val="NoSpacing"/>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331</w:t>
            </w:r>
          </w:p>
        </w:tc>
        <w:tc>
          <w:tcPr>
            <w:tcW w:w="1244" w:type="dxa"/>
            <w:shd w:val="clear" w:color="auto" w:fill="auto"/>
            <w:vAlign w:val="center"/>
          </w:tcPr>
          <w:p w14:paraId="47D7C36D" w14:textId="77777777" w:rsidR="00720091" w:rsidRPr="00EE335B" w:rsidRDefault="00720091" w:rsidP="001C65FC">
            <w:pPr>
              <w:pStyle w:val="NoSpacing"/>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362</w:t>
            </w:r>
          </w:p>
        </w:tc>
      </w:tr>
      <w:tr w:rsidR="00720091" w:rsidRPr="00EE335B" w14:paraId="1FCA6017" w14:textId="77777777" w:rsidTr="001C65FC">
        <w:trPr>
          <w:trHeight w:val="331"/>
          <w:jc w:val="center"/>
        </w:trPr>
        <w:tc>
          <w:tcPr>
            <w:cnfStyle w:val="001000000000" w:firstRow="0" w:lastRow="0" w:firstColumn="1" w:lastColumn="0" w:oddVBand="0" w:evenVBand="0" w:oddHBand="0" w:evenHBand="0" w:firstRowFirstColumn="0" w:firstRowLastColumn="0" w:lastRowFirstColumn="0" w:lastRowLastColumn="0"/>
            <w:tcW w:w="1890" w:type="dxa"/>
            <w:tcBorders>
              <w:bottom w:val="single" w:sz="4" w:space="0" w:color="auto"/>
            </w:tcBorders>
            <w:shd w:val="clear" w:color="auto" w:fill="DAEEF3" w:themeFill="accent5" w:themeFillTint="33"/>
            <w:vAlign w:val="center"/>
          </w:tcPr>
          <w:p w14:paraId="7CF0A740" w14:textId="77777777" w:rsidR="00720091" w:rsidRPr="00EE335B" w:rsidRDefault="00720091" w:rsidP="001C65FC">
            <w:pPr>
              <w:pStyle w:val="NoSpacing"/>
              <w:suppressLineNumbers/>
              <w:suppressAutoHyphens/>
              <w:rPr>
                <w:rFonts w:ascii="Times New Roman" w:hAnsi="Times New Roman" w:cs="Times New Roman"/>
                <w:b w:val="0"/>
                <w:color w:val="auto"/>
                <w:sz w:val="14"/>
              </w:rPr>
            </w:pPr>
            <w:r w:rsidRPr="00EE335B">
              <w:rPr>
                <w:rFonts w:ascii="Times New Roman" w:hAnsi="Times New Roman" w:cs="Times New Roman"/>
                <w:b w:val="0"/>
                <w:color w:val="auto"/>
                <w:sz w:val="14"/>
              </w:rPr>
              <w:t>Associate of Arts (A.A.) Degree</w:t>
            </w:r>
          </w:p>
        </w:tc>
        <w:tc>
          <w:tcPr>
            <w:tcW w:w="1243" w:type="dxa"/>
            <w:tcBorders>
              <w:bottom w:val="single" w:sz="4" w:space="0" w:color="auto"/>
            </w:tcBorders>
            <w:vAlign w:val="center"/>
          </w:tcPr>
          <w:p w14:paraId="374D2ED2" w14:textId="77777777" w:rsidR="00720091" w:rsidRPr="00EE335B" w:rsidRDefault="00720091" w:rsidP="001C65FC">
            <w:pPr>
              <w:pStyle w:val="NoSpacing"/>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1,409</w:t>
            </w:r>
          </w:p>
        </w:tc>
        <w:tc>
          <w:tcPr>
            <w:tcW w:w="1243" w:type="dxa"/>
            <w:tcBorders>
              <w:bottom w:val="single" w:sz="4" w:space="0" w:color="auto"/>
            </w:tcBorders>
            <w:vAlign w:val="center"/>
          </w:tcPr>
          <w:p w14:paraId="270A0FC6" w14:textId="77777777" w:rsidR="00720091" w:rsidRPr="00EE335B" w:rsidRDefault="00720091" w:rsidP="001C65FC">
            <w:pPr>
              <w:pStyle w:val="NoSpacing"/>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1,243</w:t>
            </w:r>
          </w:p>
        </w:tc>
        <w:tc>
          <w:tcPr>
            <w:tcW w:w="1244" w:type="dxa"/>
            <w:tcBorders>
              <w:bottom w:val="single" w:sz="4" w:space="0" w:color="auto"/>
            </w:tcBorders>
            <w:vAlign w:val="center"/>
          </w:tcPr>
          <w:p w14:paraId="480BDE78" w14:textId="77777777" w:rsidR="00720091" w:rsidRPr="00EE335B" w:rsidRDefault="00720091" w:rsidP="001C65FC">
            <w:pPr>
              <w:pStyle w:val="NoSpacing"/>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1,225</w:t>
            </w:r>
          </w:p>
        </w:tc>
        <w:tc>
          <w:tcPr>
            <w:tcW w:w="1243" w:type="dxa"/>
            <w:tcBorders>
              <w:bottom w:val="single" w:sz="4" w:space="0" w:color="auto"/>
            </w:tcBorders>
            <w:vAlign w:val="center"/>
          </w:tcPr>
          <w:p w14:paraId="0A627CA3" w14:textId="77777777" w:rsidR="00720091" w:rsidRPr="00EE335B" w:rsidRDefault="00720091" w:rsidP="001C65FC">
            <w:pPr>
              <w:pStyle w:val="NoSpacing"/>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1,078</w:t>
            </w:r>
          </w:p>
        </w:tc>
        <w:tc>
          <w:tcPr>
            <w:tcW w:w="1243" w:type="dxa"/>
            <w:tcBorders>
              <w:bottom w:val="single" w:sz="4" w:space="0" w:color="auto"/>
            </w:tcBorders>
            <w:vAlign w:val="center"/>
          </w:tcPr>
          <w:p w14:paraId="7F5420EC" w14:textId="77777777" w:rsidR="00720091" w:rsidRPr="00EE335B" w:rsidRDefault="00720091" w:rsidP="001C65FC">
            <w:pPr>
              <w:pStyle w:val="NoSpacing"/>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993</w:t>
            </w:r>
          </w:p>
        </w:tc>
        <w:tc>
          <w:tcPr>
            <w:tcW w:w="1244" w:type="dxa"/>
            <w:tcBorders>
              <w:bottom w:val="single" w:sz="4" w:space="0" w:color="auto"/>
            </w:tcBorders>
            <w:vAlign w:val="center"/>
          </w:tcPr>
          <w:p w14:paraId="59800847" w14:textId="77777777" w:rsidR="00720091" w:rsidRPr="00EE335B" w:rsidRDefault="00720091" w:rsidP="001C65FC">
            <w:pPr>
              <w:pStyle w:val="NoSpacing"/>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1,573</w:t>
            </w:r>
          </w:p>
        </w:tc>
      </w:tr>
      <w:tr w:rsidR="00720091" w:rsidRPr="00EE335B" w14:paraId="1DD94279" w14:textId="77777777" w:rsidTr="001C65FC">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auto"/>
              <w:bottom w:val="single" w:sz="4" w:space="0" w:color="auto"/>
            </w:tcBorders>
            <w:shd w:val="clear" w:color="auto" w:fill="FFFFFF" w:themeFill="background1"/>
            <w:vAlign w:val="center"/>
          </w:tcPr>
          <w:p w14:paraId="31D51318" w14:textId="77777777" w:rsidR="00720091" w:rsidRPr="00EE335B" w:rsidRDefault="00720091" w:rsidP="001C65FC">
            <w:pPr>
              <w:suppressLineNumbers/>
              <w:suppressAutoHyphens/>
              <w:rPr>
                <w:rFonts w:cs="Times New Roman"/>
                <w:b w:val="0"/>
                <w:color w:val="215868" w:themeColor="accent5" w:themeShade="80"/>
                <w:sz w:val="14"/>
              </w:rPr>
            </w:pPr>
            <w:r w:rsidRPr="00EE335B">
              <w:rPr>
                <w:rFonts w:cs="Times New Roman"/>
                <w:b w:val="0"/>
                <w:color w:val="215868" w:themeColor="accent5" w:themeShade="80"/>
                <w:sz w:val="14"/>
              </w:rPr>
              <w:t>Total</w:t>
            </w:r>
          </w:p>
        </w:tc>
        <w:tc>
          <w:tcPr>
            <w:tcW w:w="1243" w:type="dxa"/>
            <w:tcBorders>
              <w:top w:val="single" w:sz="4" w:space="0" w:color="auto"/>
              <w:bottom w:val="single" w:sz="4" w:space="0" w:color="auto"/>
            </w:tcBorders>
            <w:shd w:val="clear" w:color="auto" w:fill="FFFFFF" w:themeFill="background1"/>
            <w:vAlign w:val="center"/>
          </w:tcPr>
          <w:p w14:paraId="564A5729" w14:textId="77777777" w:rsidR="00720091" w:rsidRPr="00EE335B" w:rsidRDefault="00720091" w:rsidP="001C65FC">
            <w:pPr>
              <w:pStyle w:val="NoSpacing"/>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1,409</w:t>
            </w:r>
          </w:p>
        </w:tc>
        <w:tc>
          <w:tcPr>
            <w:tcW w:w="1243" w:type="dxa"/>
            <w:tcBorders>
              <w:top w:val="single" w:sz="4" w:space="0" w:color="auto"/>
              <w:bottom w:val="single" w:sz="4" w:space="0" w:color="auto"/>
            </w:tcBorders>
            <w:shd w:val="clear" w:color="auto" w:fill="FFFFFF" w:themeFill="background1"/>
            <w:vAlign w:val="center"/>
          </w:tcPr>
          <w:p w14:paraId="7CFE98C2" w14:textId="77777777" w:rsidR="00720091" w:rsidRPr="00EE335B" w:rsidRDefault="00720091" w:rsidP="001C65FC">
            <w:pPr>
              <w:pStyle w:val="NoSpacing"/>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1,243</w:t>
            </w:r>
          </w:p>
        </w:tc>
        <w:tc>
          <w:tcPr>
            <w:tcW w:w="1244" w:type="dxa"/>
            <w:tcBorders>
              <w:top w:val="single" w:sz="4" w:space="0" w:color="auto"/>
              <w:bottom w:val="single" w:sz="4" w:space="0" w:color="auto"/>
            </w:tcBorders>
            <w:shd w:val="clear" w:color="auto" w:fill="FFFFFF" w:themeFill="background1"/>
            <w:vAlign w:val="center"/>
          </w:tcPr>
          <w:p w14:paraId="4E3734A6" w14:textId="77777777" w:rsidR="00720091" w:rsidRPr="00EE335B" w:rsidRDefault="00720091" w:rsidP="001C65FC">
            <w:pPr>
              <w:pStyle w:val="NoSpacing"/>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1,229</w:t>
            </w:r>
          </w:p>
        </w:tc>
        <w:tc>
          <w:tcPr>
            <w:tcW w:w="1243" w:type="dxa"/>
            <w:tcBorders>
              <w:top w:val="single" w:sz="4" w:space="0" w:color="auto"/>
              <w:bottom w:val="single" w:sz="4" w:space="0" w:color="auto"/>
            </w:tcBorders>
            <w:shd w:val="clear" w:color="auto" w:fill="FFFFFF" w:themeFill="background1"/>
            <w:vAlign w:val="center"/>
          </w:tcPr>
          <w:p w14:paraId="36EBACFB" w14:textId="77777777" w:rsidR="00720091" w:rsidRPr="00EE335B" w:rsidRDefault="00720091" w:rsidP="001C65FC">
            <w:pPr>
              <w:pStyle w:val="NoSpacing"/>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1,207</w:t>
            </w:r>
          </w:p>
        </w:tc>
        <w:tc>
          <w:tcPr>
            <w:tcW w:w="1243" w:type="dxa"/>
            <w:tcBorders>
              <w:top w:val="single" w:sz="4" w:space="0" w:color="auto"/>
              <w:bottom w:val="single" w:sz="4" w:space="0" w:color="auto"/>
            </w:tcBorders>
            <w:shd w:val="clear" w:color="auto" w:fill="FFFFFF" w:themeFill="background1"/>
            <w:vAlign w:val="center"/>
          </w:tcPr>
          <w:p w14:paraId="0A57E983" w14:textId="77777777" w:rsidR="00720091" w:rsidRPr="00EE335B" w:rsidRDefault="00720091" w:rsidP="001C65FC">
            <w:pPr>
              <w:pStyle w:val="NoSpacing"/>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1,434</w:t>
            </w:r>
          </w:p>
        </w:tc>
        <w:tc>
          <w:tcPr>
            <w:tcW w:w="1244" w:type="dxa"/>
            <w:tcBorders>
              <w:top w:val="single" w:sz="4" w:space="0" w:color="auto"/>
              <w:bottom w:val="single" w:sz="4" w:space="0" w:color="auto"/>
            </w:tcBorders>
            <w:shd w:val="clear" w:color="auto" w:fill="FFFFFF" w:themeFill="background1"/>
            <w:vAlign w:val="center"/>
          </w:tcPr>
          <w:p w14:paraId="69A5EF46" w14:textId="77777777" w:rsidR="00720091" w:rsidRPr="00EE335B" w:rsidRDefault="00720091" w:rsidP="001C65FC">
            <w:pPr>
              <w:pStyle w:val="NoSpacing"/>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2,222</w:t>
            </w:r>
          </w:p>
        </w:tc>
      </w:tr>
    </w:tbl>
    <w:p w14:paraId="32D7E0F8" w14:textId="77777777" w:rsidR="00720091" w:rsidRPr="00EE335B" w:rsidRDefault="00720091" w:rsidP="001C65FC">
      <w:pPr>
        <w:suppressLineNumbers/>
        <w:suppressAutoHyphens/>
        <w:rPr>
          <w:rFonts w:cs="Times New Roman"/>
          <w:sz w:val="20"/>
        </w:rPr>
      </w:pPr>
      <w:r w:rsidRPr="00EE335B">
        <w:rPr>
          <w:rFonts w:cs="Times New Roman"/>
          <w:i/>
          <w:sz w:val="14"/>
        </w:rPr>
        <w:t>Source: Management Information System</w:t>
      </w:r>
    </w:p>
    <w:p w14:paraId="5E0E80F1" w14:textId="77777777" w:rsidR="00720091" w:rsidRDefault="00720091" w:rsidP="00B71792">
      <w:pPr>
        <w:pStyle w:val="Normalwithspacebetween"/>
      </w:pPr>
      <w:r w:rsidRPr="00EE335B">
        <w:lastRenderedPageBreak/>
        <w:t xml:space="preserve">The number of transfer associate degrees has </w:t>
      </w:r>
      <w:r>
        <w:t xml:space="preserve">also </w:t>
      </w:r>
      <w:r w:rsidRPr="00EE335B">
        <w:t>increased in recent years. Transfer associate degrees were first offered in 2011-2012, and new degree programs in this category have been added each year since then.</w:t>
      </w:r>
      <w:r>
        <w:t xml:space="preserve">  </w:t>
      </w:r>
      <w:r w:rsidRPr="00EE335B">
        <w:t>Over the last six academic years, the number of certificates of achievements awarded at Santa Monica College increased by nearly 500</w:t>
      </w:r>
      <w:r>
        <w:t xml:space="preserve"> percent</w:t>
      </w:r>
      <w:r w:rsidRPr="00EE335B">
        <w:t xml:space="preserve">, from 257 in 2009-2010 to 1,515 in 2014-2015. </w:t>
      </w:r>
    </w:p>
    <w:p w14:paraId="135F2DAB" w14:textId="6D757969" w:rsidR="00720091" w:rsidRDefault="00720091" w:rsidP="00B71792">
      <w:pPr>
        <w:pStyle w:val="Normalwithspacebetween"/>
        <w:rPr>
          <w:color w:val="000000" w:themeColor="text1"/>
          <w:szCs w:val="19"/>
        </w:rPr>
      </w:pPr>
      <w:r w:rsidRPr="00EE335B">
        <w:t>In 2010-2011, the College began offering two transfer-related certificates of achievement, the IGETC (UC) and CSU General Education certificates, which explain the sharp increase in certificates awarded in 2010-2011 and subsequent years when compared to 2009-2010. The Auto-Award Degree Initiative applied to certificates as well.</w:t>
      </w:r>
      <w:r w:rsidRPr="00EE335B">
        <w:rPr>
          <w:color w:val="000000" w:themeColor="text1"/>
          <w:szCs w:val="19"/>
        </w:rPr>
        <w:t xml:space="preserve"> In 2014-2015, a total of 127 certificates were auto-awarded. The numbers of certificates awarded would have experienced a decrease in 2014-2015 had the auto-award initiative not been implemented.</w:t>
      </w:r>
    </w:p>
    <w:p w14:paraId="4567AAE0" w14:textId="77777777" w:rsidR="00720091" w:rsidRPr="00EE335B" w:rsidRDefault="00720091" w:rsidP="003F6D20">
      <w:pPr>
        <w:jc w:val="center"/>
        <w:rPr>
          <w:rFonts w:cs="Times New Roman"/>
          <w:sz w:val="20"/>
        </w:rPr>
      </w:pPr>
      <w:r w:rsidRPr="00EE335B">
        <w:rPr>
          <w:rFonts w:cs="Times New Roman"/>
          <w:sz w:val="20"/>
        </w:rPr>
        <w:t>Certificates of Achievements Awarded, 2009-2010 to 2014-2015</w:t>
      </w:r>
    </w:p>
    <w:tbl>
      <w:tblPr>
        <w:tblStyle w:val="GridTable5Dark-Accent51"/>
        <w:tblW w:w="0" w:type="auto"/>
        <w:jc w:val="center"/>
        <w:tblLook w:val="04A0" w:firstRow="1" w:lastRow="0" w:firstColumn="1" w:lastColumn="0" w:noHBand="0" w:noVBand="1"/>
      </w:tblPr>
      <w:tblGrid>
        <w:gridCol w:w="1865"/>
        <w:gridCol w:w="1224"/>
        <w:gridCol w:w="1225"/>
        <w:gridCol w:w="1226"/>
        <w:gridCol w:w="1225"/>
        <w:gridCol w:w="1225"/>
        <w:gridCol w:w="1226"/>
      </w:tblGrid>
      <w:tr w:rsidR="00720091" w:rsidRPr="00EE335B" w14:paraId="65B7C34B" w14:textId="77777777" w:rsidTr="00EE335B">
        <w:trPr>
          <w:cnfStyle w:val="100000000000" w:firstRow="1" w:lastRow="0" w:firstColumn="0" w:lastColumn="0" w:oddVBand="0" w:evenVBand="0" w:oddHBand="0"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890" w:type="dxa"/>
            <w:tcBorders>
              <w:top w:val="nil"/>
              <w:left w:val="nil"/>
              <w:bottom w:val="single" w:sz="4" w:space="0" w:color="FFFFFF" w:themeColor="background1"/>
            </w:tcBorders>
          </w:tcPr>
          <w:p w14:paraId="35131E3B" w14:textId="77777777" w:rsidR="00720091" w:rsidRPr="00EE335B" w:rsidRDefault="00720091" w:rsidP="00EE335B">
            <w:pPr>
              <w:rPr>
                <w:rFonts w:cs="Times New Roman"/>
                <w:b w:val="0"/>
                <w:sz w:val="16"/>
              </w:rPr>
            </w:pPr>
          </w:p>
        </w:tc>
        <w:tc>
          <w:tcPr>
            <w:tcW w:w="1243" w:type="dxa"/>
            <w:tcBorders>
              <w:top w:val="nil"/>
              <w:bottom w:val="single" w:sz="4" w:space="0" w:color="FFFFFF" w:themeColor="background1"/>
            </w:tcBorders>
            <w:vAlign w:val="center"/>
          </w:tcPr>
          <w:p w14:paraId="397B8285" w14:textId="77777777" w:rsidR="00720091" w:rsidRPr="00EE335B" w:rsidRDefault="00720091"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2009-2010</w:t>
            </w:r>
          </w:p>
        </w:tc>
        <w:tc>
          <w:tcPr>
            <w:tcW w:w="1243" w:type="dxa"/>
            <w:tcBorders>
              <w:top w:val="nil"/>
              <w:bottom w:val="single" w:sz="4" w:space="0" w:color="FFFFFF" w:themeColor="background1"/>
            </w:tcBorders>
            <w:vAlign w:val="center"/>
          </w:tcPr>
          <w:p w14:paraId="524AEDED" w14:textId="77777777" w:rsidR="00720091" w:rsidRPr="00EE335B" w:rsidRDefault="00720091"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2010-2011</w:t>
            </w:r>
          </w:p>
        </w:tc>
        <w:tc>
          <w:tcPr>
            <w:tcW w:w="1244" w:type="dxa"/>
            <w:tcBorders>
              <w:top w:val="nil"/>
              <w:bottom w:val="single" w:sz="4" w:space="0" w:color="FFFFFF" w:themeColor="background1"/>
            </w:tcBorders>
            <w:vAlign w:val="center"/>
          </w:tcPr>
          <w:p w14:paraId="1F966D20" w14:textId="77777777" w:rsidR="00720091" w:rsidRPr="00EE335B" w:rsidRDefault="00720091"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2011-2012</w:t>
            </w:r>
          </w:p>
        </w:tc>
        <w:tc>
          <w:tcPr>
            <w:tcW w:w="1243" w:type="dxa"/>
            <w:tcBorders>
              <w:top w:val="nil"/>
              <w:bottom w:val="single" w:sz="4" w:space="0" w:color="FFFFFF" w:themeColor="background1"/>
            </w:tcBorders>
            <w:vAlign w:val="center"/>
          </w:tcPr>
          <w:p w14:paraId="68E517CD" w14:textId="77777777" w:rsidR="00720091" w:rsidRPr="00EE335B" w:rsidRDefault="00720091"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2012-2013</w:t>
            </w:r>
          </w:p>
        </w:tc>
        <w:tc>
          <w:tcPr>
            <w:tcW w:w="1243" w:type="dxa"/>
            <w:tcBorders>
              <w:top w:val="nil"/>
              <w:bottom w:val="single" w:sz="4" w:space="0" w:color="FFFFFF" w:themeColor="background1"/>
            </w:tcBorders>
            <w:vAlign w:val="center"/>
          </w:tcPr>
          <w:p w14:paraId="37CEEFA3" w14:textId="77777777" w:rsidR="00720091" w:rsidRPr="00EE335B" w:rsidRDefault="00720091"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2013-2014</w:t>
            </w:r>
          </w:p>
        </w:tc>
        <w:tc>
          <w:tcPr>
            <w:tcW w:w="1244" w:type="dxa"/>
            <w:tcBorders>
              <w:top w:val="nil"/>
              <w:bottom w:val="single" w:sz="4" w:space="0" w:color="FFFFFF" w:themeColor="background1"/>
              <w:right w:val="nil"/>
            </w:tcBorders>
            <w:vAlign w:val="center"/>
          </w:tcPr>
          <w:p w14:paraId="18CC03BA" w14:textId="77777777" w:rsidR="00720091" w:rsidRPr="00EE335B" w:rsidRDefault="00720091"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2014-2015</w:t>
            </w:r>
          </w:p>
        </w:tc>
      </w:tr>
      <w:tr w:rsidR="00720091" w:rsidRPr="00EE335B" w14:paraId="027D57D8" w14:textId="77777777" w:rsidTr="00EE335B">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890" w:type="dxa"/>
            <w:tcBorders>
              <w:bottom w:val="single" w:sz="4" w:space="0" w:color="auto"/>
            </w:tcBorders>
            <w:shd w:val="clear" w:color="auto" w:fill="auto"/>
            <w:vAlign w:val="center"/>
          </w:tcPr>
          <w:p w14:paraId="55CC1473" w14:textId="77777777" w:rsidR="00720091" w:rsidRPr="00EE335B" w:rsidRDefault="00720091" w:rsidP="00EE335B">
            <w:pPr>
              <w:pStyle w:val="NoSpacing"/>
              <w:rPr>
                <w:rFonts w:ascii="Times New Roman" w:hAnsi="Times New Roman" w:cs="Times New Roman"/>
                <w:b w:val="0"/>
                <w:color w:val="auto"/>
                <w:sz w:val="14"/>
              </w:rPr>
            </w:pPr>
            <w:r w:rsidRPr="00EE335B">
              <w:rPr>
                <w:rFonts w:ascii="Times New Roman" w:hAnsi="Times New Roman" w:cs="Times New Roman"/>
                <w:b w:val="0"/>
                <w:color w:val="auto"/>
                <w:sz w:val="14"/>
              </w:rPr>
              <w:t>Certificates of Achievement</w:t>
            </w:r>
          </w:p>
        </w:tc>
        <w:tc>
          <w:tcPr>
            <w:tcW w:w="1243" w:type="dxa"/>
            <w:tcBorders>
              <w:bottom w:val="single" w:sz="4" w:space="0" w:color="auto"/>
            </w:tcBorders>
            <w:shd w:val="clear" w:color="auto" w:fill="auto"/>
            <w:vAlign w:val="center"/>
          </w:tcPr>
          <w:p w14:paraId="11395174" w14:textId="77777777" w:rsidR="00720091" w:rsidRPr="00EE335B" w:rsidRDefault="00720091"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257</w:t>
            </w:r>
          </w:p>
        </w:tc>
        <w:tc>
          <w:tcPr>
            <w:tcW w:w="1243" w:type="dxa"/>
            <w:tcBorders>
              <w:bottom w:val="single" w:sz="4" w:space="0" w:color="auto"/>
            </w:tcBorders>
            <w:shd w:val="clear" w:color="auto" w:fill="auto"/>
            <w:vAlign w:val="center"/>
          </w:tcPr>
          <w:p w14:paraId="5EF6822A" w14:textId="77777777" w:rsidR="00720091" w:rsidRPr="00EE335B" w:rsidRDefault="00720091"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1,397</w:t>
            </w:r>
          </w:p>
        </w:tc>
        <w:tc>
          <w:tcPr>
            <w:tcW w:w="1244" w:type="dxa"/>
            <w:tcBorders>
              <w:bottom w:val="single" w:sz="4" w:space="0" w:color="auto"/>
            </w:tcBorders>
            <w:shd w:val="clear" w:color="auto" w:fill="auto"/>
            <w:vAlign w:val="center"/>
          </w:tcPr>
          <w:p w14:paraId="31EC79D9" w14:textId="77777777" w:rsidR="00720091" w:rsidRPr="00EE335B" w:rsidRDefault="00720091"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1,505</w:t>
            </w:r>
          </w:p>
        </w:tc>
        <w:tc>
          <w:tcPr>
            <w:tcW w:w="1243" w:type="dxa"/>
            <w:tcBorders>
              <w:bottom w:val="single" w:sz="4" w:space="0" w:color="auto"/>
            </w:tcBorders>
            <w:shd w:val="clear" w:color="auto" w:fill="auto"/>
            <w:vAlign w:val="center"/>
          </w:tcPr>
          <w:p w14:paraId="580B4595" w14:textId="77777777" w:rsidR="00720091" w:rsidRPr="00EE335B" w:rsidRDefault="00720091"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1,373</w:t>
            </w:r>
          </w:p>
        </w:tc>
        <w:tc>
          <w:tcPr>
            <w:tcW w:w="1243" w:type="dxa"/>
            <w:tcBorders>
              <w:bottom w:val="single" w:sz="4" w:space="0" w:color="auto"/>
            </w:tcBorders>
            <w:shd w:val="clear" w:color="auto" w:fill="auto"/>
            <w:vAlign w:val="center"/>
          </w:tcPr>
          <w:p w14:paraId="43795778" w14:textId="77777777" w:rsidR="00720091" w:rsidRPr="00EE335B" w:rsidRDefault="00720091"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1,528</w:t>
            </w:r>
          </w:p>
        </w:tc>
        <w:tc>
          <w:tcPr>
            <w:tcW w:w="1244" w:type="dxa"/>
            <w:tcBorders>
              <w:bottom w:val="single" w:sz="4" w:space="0" w:color="auto"/>
            </w:tcBorders>
            <w:shd w:val="clear" w:color="auto" w:fill="auto"/>
            <w:vAlign w:val="center"/>
          </w:tcPr>
          <w:p w14:paraId="211D777A" w14:textId="77777777" w:rsidR="00720091" w:rsidRPr="00EE335B" w:rsidRDefault="00720091"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1,515</w:t>
            </w:r>
          </w:p>
        </w:tc>
      </w:tr>
    </w:tbl>
    <w:p w14:paraId="1D9FA8C0" w14:textId="77777777" w:rsidR="00720091" w:rsidRPr="00EE335B" w:rsidRDefault="00720091" w:rsidP="003F6D20">
      <w:pPr>
        <w:rPr>
          <w:rFonts w:cs="Times New Roman"/>
          <w:sz w:val="20"/>
        </w:rPr>
      </w:pPr>
      <w:r w:rsidRPr="00EE335B">
        <w:rPr>
          <w:rFonts w:cs="Times New Roman"/>
          <w:i/>
          <w:sz w:val="14"/>
        </w:rPr>
        <w:t>Source: Management Information System</w:t>
      </w:r>
    </w:p>
    <w:p w14:paraId="1E08EE03" w14:textId="77777777" w:rsidR="00720091" w:rsidRPr="00EE335B" w:rsidRDefault="00720091" w:rsidP="00C20BA0">
      <w:pPr>
        <w:pStyle w:val="Heading3"/>
      </w:pPr>
      <w:r w:rsidRPr="00EE335B">
        <w:t>Transfers to Four-Year Institutions</w:t>
      </w:r>
    </w:p>
    <w:p w14:paraId="20C7BE0A" w14:textId="4B7DF65F" w:rsidR="00720091" w:rsidRPr="00EE335B" w:rsidRDefault="00720091" w:rsidP="00B71792">
      <w:pPr>
        <w:pStyle w:val="Normalwithspacebetween"/>
      </w:pPr>
      <w:r w:rsidRPr="00EE335B">
        <w:t>Between 2009-2010 and 2014-2015, the number of Santa Monica College students who transferred to a four-year college or university increased by 25.1</w:t>
      </w:r>
      <w:r>
        <w:t xml:space="preserve"> percent</w:t>
      </w:r>
      <w:r w:rsidRPr="00EE335B">
        <w:t>, from 2,484 in 2009-2010 to 3,107 in 2014-2015. During the same period, the number of transfers to each of institution type experience</w:t>
      </w:r>
      <w:r>
        <w:t>d</w:t>
      </w:r>
      <w:r w:rsidRPr="00EE335B">
        <w:t xml:space="preserve"> an increase (2</w:t>
      </w:r>
      <w:r>
        <w:t xml:space="preserve"> percent</w:t>
      </w:r>
      <w:r w:rsidRPr="00EE335B">
        <w:t xml:space="preserve"> increase for UC, 53.2</w:t>
      </w:r>
      <w:r>
        <w:t xml:space="preserve"> percent</w:t>
      </w:r>
      <w:r w:rsidRPr="00EE335B">
        <w:t xml:space="preserve"> increase for CSU</w:t>
      </w:r>
      <w:r>
        <w:t>s</w:t>
      </w:r>
      <w:r w:rsidRPr="00EE335B">
        <w:t>, 32.1</w:t>
      </w:r>
      <w:r>
        <w:t xml:space="preserve"> percent</w:t>
      </w:r>
      <w:r w:rsidRPr="00EE335B">
        <w:t xml:space="preserve"> increase for California private</w:t>
      </w:r>
      <w:r>
        <w:t xml:space="preserve"> institutions</w:t>
      </w:r>
      <w:r w:rsidRPr="00EE335B">
        <w:t>, and 24.6</w:t>
      </w:r>
      <w:r>
        <w:t xml:space="preserve"> percent increase for out-of-state institutions</w:t>
      </w:r>
      <w:r w:rsidRPr="00EE335B">
        <w:t xml:space="preserve">). Transfer volume is influenced by numerous external factors such as impacted status and limited capacity, system budget cuts, and </w:t>
      </w:r>
      <w:r>
        <w:t xml:space="preserve">changes in </w:t>
      </w:r>
      <w:r w:rsidRPr="00EE335B">
        <w:t xml:space="preserve">admission standards at the UC/CSU systems. </w:t>
      </w:r>
    </w:p>
    <w:p w14:paraId="0501C984" w14:textId="77777777" w:rsidR="00720091" w:rsidRPr="00EE335B" w:rsidRDefault="00720091" w:rsidP="003F6D20">
      <w:pPr>
        <w:jc w:val="center"/>
        <w:rPr>
          <w:rFonts w:cs="Times New Roman"/>
          <w:sz w:val="20"/>
        </w:rPr>
      </w:pPr>
      <w:r w:rsidRPr="00EE335B">
        <w:rPr>
          <w:rFonts w:cs="Times New Roman"/>
          <w:sz w:val="20"/>
        </w:rPr>
        <w:t>Transfers to Four-Year Institutions by Institution Type, 2009-2010 to 2014-2015</w:t>
      </w:r>
    </w:p>
    <w:tbl>
      <w:tblPr>
        <w:tblStyle w:val="GridTable5Dark-Accent51"/>
        <w:tblW w:w="0" w:type="auto"/>
        <w:jc w:val="center"/>
        <w:tblLook w:val="04A0" w:firstRow="1" w:lastRow="0" w:firstColumn="1" w:lastColumn="0" w:noHBand="0" w:noVBand="1"/>
      </w:tblPr>
      <w:tblGrid>
        <w:gridCol w:w="1863"/>
        <w:gridCol w:w="1226"/>
        <w:gridCol w:w="1225"/>
        <w:gridCol w:w="1226"/>
        <w:gridCol w:w="1225"/>
        <w:gridCol w:w="1225"/>
        <w:gridCol w:w="1226"/>
      </w:tblGrid>
      <w:tr w:rsidR="00720091" w:rsidRPr="00EE335B" w14:paraId="3BC01BCC" w14:textId="77777777" w:rsidTr="001C65F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90" w:type="dxa"/>
            <w:tcBorders>
              <w:top w:val="nil"/>
              <w:left w:val="nil"/>
              <w:bottom w:val="nil"/>
            </w:tcBorders>
          </w:tcPr>
          <w:p w14:paraId="309C73D8" w14:textId="77777777" w:rsidR="00720091" w:rsidRPr="00EE335B" w:rsidRDefault="00720091" w:rsidP="00EE335B">
            <w:pPr>
              <w:rPr>
                <w:rFonts w:cs="Times New Roman"/>
                <w:b w:val="0"/>
                <w:sz w:val="16"/>
              </w:rPr>
            </w:pPr>
          </w:p>
        </w:tc>
        <w:tc>
          <w:tcPr>
            <w:tcW w:w="1243" w:type="dxa"/>
            <w:tcBorders>
              <w:top w:val="nil"/>
              <w:bottom w:val="single" w:sz="4" w:space="0" w:color="FFFFFF" w:themeColor="background1"/>
            </w:tcBorders>
            <w:vAlign w:val="center"/>
          </w:tcPr>
          <w:p w14:paraId="7D14E35B" w14:textId="77777777" w:rsidR="00720091" w:rsidRPr="00EE335B" w:rsidRDefault="00720091"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2009-2010</w:t>
            </w:r>
          </w:p>
        </w:tc>
        <w:tc>
          <w:tcPr>
            <w:tcW w:w="1243" w:type="dxa"/>
            <w:tcBorders>
              <w:top w:val="nil"/>
              <w:bottom w:val="single" w:sz="4" w:space="0" w:color="FFFFFF" w:themeColor="background1"/>
            </w:tcBorders>
            <w:vAlign w:val="center"/>
          </w:tcPr>
          <w:p w14:paraId="25631B9D" w14:textId="77777777" w:rsidR="00720091" w:rsidRPr="00EE335B" w:rsidRDefault="00720091"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2010-2011</w:t>
            </w:r>
          </w:p>
        </w:tc>
        <w:tc>
          <w:tcPr>
            <w:tcW w:w="1244" w:type="dxa"/>
            <w:tcBorders>
              <w:top w:val="nil"/>
              <w:bottom w:val="single" w:sz="4" w:space="0" w:color="FFFFFF" w:themeColor="background1"/>
            </w:tcBorders>
            <w:vAlign w:val="center"/>
          </w:tcPr>
          <w:p w14:paraId="66270BC2" w14:textId="77777777" w:rsidR="00720091" w:rsidRPr="00EE335B" w:rsidRDefault="00720091"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2011-2012</w:t>
            </w:r>
          </w:p>
        </w:tc>
        <w:tc>
          <w:tcPr>
            <w:tcW w:w="1243" w:type="dxa"/>
            <w:tcBorders>
              <w:top w:val="nil"/>
              <w:bottom w:val="single" w:sz="4" w:space="0" w:color="FFFFFF" w:themeColor="background1"/>
            </w:tcBorders>
            <w:vAlign w:val="center"/>
          </w:tcPr>
          <w:p w14:paraId="02FAF463" w14:textId="77777777" w:rsidR="00720091" w:rsidRPr="00EE335B" w:rsidRDefault="00720091"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2012-2013</w:t>
            </w:r>
          </w:p>
        </w:tc>
        <w:tc>
          <w:tcPr>
            <w:tcW w:w="1243" w:type="dxa"/>
            <w:tcBorders>
              <w:top w:val="nil"/>
              <w:bottom w:val="single" w:sz="4" w:space="0" w:color="FFFFFF" w:themeColor="background1"/>
            </w:tcBorders>
            <w:vAlign w:val="center"/>
          </w:tcPr>
          <w:p w14:paraId="707E2472" w14:textId="77777777" w:rsidR="00720091" w:rsidRPr="00EE335B" w:rsidRDefault="00720091"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2013-2014</w:t>
            </w:r>
          </w:p>
        </w:tc>
        <w:tc>
          <w:tcPr>
            <w:tcW w:w="1244" w:type="dxa"/>
            <w:tcBorders>
              <w:top w:val="nil"/>
              <w:bottom w:val="single" w:sz="4" w:space="0" w:color="FFFFFF" w:themeColor="background1"/>
              <w:right w:val="nil"/>
            </w:tcBorders>
            <w:vAlign w:val="center"/>
          </w:tcPr>
          <w:p w14:paraId="3249293F" w14:textId="77777777" w:rsidR="00720091" w:rsidRPr="00EE335B" w:rsidRDefault="00720091" w:rsidP="00EE335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rPr>
            </w:pPr>
            <w:r w:rsidRPr="00EE335B">
              <w:rPr>
                <w:rFonts w:ascii="Times New Roman" w:hAnsi="Times New Roman" w:cs="Times New Roman"/>
                <w:b w:val="0"/>
                <w:sz w:val="14"/>
              </w:rPr>
              <w:t>2014-2015</w:t>
            </w:r>
          </w:p>
        </w:tc>
      </w:tr>
      <w:tr w:rsidR="00720091" w:rsidRPr="00EE335B" w14:paraId="7750F22D" w14:textId="77777777" w:rsidTr="001C65F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vAlign w:val="center"/>
          </w:tcPr>
          <w:p w14:paraId="53F726A4" w14:textId="77777777" w:rsidR="00720091" w:rsidRPr="00EE335B" w:rsidRDefault="00720091" w:rsidP="00EE335B">
            <w:pPr>
              <w:pStyle w:val="NoSpacing"/>
              <w:rPr>
                <w:rFonts w:ascii="Times New Roman" w:hAnsi="Times New Roman" w:cs="Times New Roman"/>
                <w:b w:val="0"/>
                <w:color w:val="auto"/>
                <w:sz w:val="14"/>
              </w:rPr>
            </w:pPr>
            <w:r w:rsidRPr="00EE335B">
              <w:rPr>
                <w:rFonts w:ascii="Times New Roman" w:hAnsi="Times New Roman" w:cs="Times New Roman"/>
                <w:b w:val="0"/>
                <w:color w:val="auto"/>
                <w:sz w:val="14"/>
              </w:rPr>
              <w:t>UC</w:t>
            </w:r>
          </w:p>
        </w:tc>
        <w:tc>
          <w:tcPr>
            <w:tcW w:w="1243" w:type="dxa"/>
            <w:shd w:val="clear" w:color="auto" w:fill="auto"/>
            <w:vAlign w:val="center"/>
          </w:tcPr>
          <w:p w14:paraId="4B9250FF" w14:textId="77777777" w:rsidR="00720091" w:rsidRPr="00EE335B" w:rsidRDefault="00720091"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1,053</w:t>
            </w:r>
          </w:p>
        </w:tc>
        <w:tc>
          <w:tcPr>
            <w:tcW w:w="1243" w:type="dxa"/>
            <w:shd w:val="clear" w:color="auto" w:fill="auto"/>
            <w:vAlign w:val="center"/>
          </w:tcPr>
          <w:p w14:paraId="473A244C" w14:textId="77777777" w:rsidR="00720091" w:rsidRPr="00EE335B" w:rsidRDefault="00720091"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1,009</w:t>
            </w:r>
          </w:p>
        </w:tc>
        <w:tc>
          <w:tcPr>
            <w:tcW w:w="1244" w:type="dxa"/>
            <w:shd w:val="clear" w:color="auto" w:fill="auto"/>
            <w:vAlign w:val="center"/>
          </w:tcPr>
          <w:p w14:paraId="1C8F5366" w14:textId="77777777" w:rsidR="00720091" w:rsidRPr="00EE335B" w:rsidRDefault="00720091"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1,076</w:t>
            </w:r>
          </w:p>
        </w:tc>
        <w:tc>
          <w:tcPr>
            <w:tcW w:w="1243" w:type="dxa"/>
            <w:shd w:val="clear" w:color="auto" w:fill="auto"/>
            <w:vAlign w:val="center"/>
          </w:tcPr>
          <w:p w14:paraId="417F3716" w14:textId="77777777" w:rsidR="00720091" w:rsidRPr="00EE335B" w:rsidRDefault="00720091"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1,059</w:t>
            </w:r>
          </w:p>
        </w:tc>
        <w:tc>
          <w:tcPr>
            <w:tcW w:w="1243" w:type="dxa"/>
            <w:shd w:val="clear" w:color="auto" w:fill="auto"/>
            <w:vAlign w:val="center"/>
          </w:tcPr>
          <w:p w14:paraId="48712853" w14:textId="77777777" w:rsidR="00720091" w:rsidRPr="00EE335B" w:rsidRDefault="00720091"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1,037</w:t>
            </w:r>
          </w:p>
        </w:tc>
        <w:tc>
          <w:tcPr>
            <w:tcW w:w="1244" w:type="dxa"/>
            <w:shd w:val="clear" w:color="auto" w:fill="auto"/>
            <w:vAlign w:val="center"/>
          </w:tcPr>
          <w:p w14:paraId="3824D01E" w14:textId="77777777" w:rsidR="00720091" w:rsidRPr="00EE335B" w:rsidRDefault="00720091"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rPr>
              <w:t>1,074</w:t>
            </w:r>
          </w:p>
        </w:tc>
      </w:tr>
      <w:tr w:rsidR="00720091" w:rsidRPr="00EE335B" w14:paraId="4F20F8B8" w14:textId="77777777" w:rsidTr="001C65FC">
        <w:trPr>
          <w:trHeight w:val="288"/>
          <w:jc w:val="center"/>
        </w:trPr>
        <w:tc>
          <w:tcPr>
            <w:cnfStyle w:val="001000000000" w:firstRow="0" w:lastRow="0" w:firstColumn="1" w:lastColumn="0" w:oddVBand="0" w:evenVBand="0" w:oddHBand="0" w:evenHBand="0" w:firstRowFirstColumn="0" w:firstRowLastColumn="0" w:lastRowFirstColumn="0" w:lastRowLastColumn="0"/>
            <w:tcW w:w="1890" w:type="dxa"/>
            <w:shd w:val="clear" w:color="auto" w:fill="DAEEF3" w:themeFill="accent5" w:themeFillTint="33"/>
            <w:vAlign w:val="center"/>
          </w:tcPr>
          <w:p w14:paraId="77679C09" w14:textId="77777777" w:rsidR="00720091" w:rsidRPr="00EE335B" w:rsidRDefault="00720091" w:rsidP="00EE335B">
            <w:pPr>
              <w:pStyle w:val="NoSpacing"/>
              <w:rPr>
                <w:rFonts w:ascii="Times New Roman" w:hAnsi="Times New Roman" w:cs="Times New Roman"/>
                <w:b w:val="0"/>
                <w:color w:val="auto"/>
                <w:sz w:val="14"/>
              </w:rPr>
            </w:pPr>
            <w:r w:rsidRPr="00EE335B">
              <w:rPr>
                <w:rFonts w:ascii="Times New Roman" w:hAnsi="Times New Roman" w:cs="Times New Roman"/>
                <w:b w:val="0"/>
                <w:color w:val="auto"/>
                <w:sz w:val="14"/>
              </w:rPr>
              <w:t>CSU</w:t>
            </w:r>
          </w:p>
        </w:tc>
        <w:tc>
          <w:tcPr>
            <w:tcW w:w="1243" w:type="dxa"/>
            <w:vAlign w:val="center"/>
          </w:tcPr>
          <w:p w14:paraId="5CD9F07E" w14:textId="77777777" w:rsidR="00720091" w:rsidRPr="00EE335B" w:rsidRDefault="00720091"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780</w:t>
            </w:r>
          </w:p>
        </w:tc>
        <w:tc>
          <w:tcPr>
            <w:tcW w:w="1243" w:type="dxa"/>
            <w:vAlign w:val="center"/>
          </w:tcPr>
          <w:p w14:paraId="2FEBE8EB" w14:textId="77777777" w:rsidR="00720091" w:rsidRPr="00EE335B" w:rsidRDefault="00720091"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1,054</w:t>
            </w:r>
          </w:p>
        </w:tc>
        <w:tc>
          <w:tcPr>
            <w:tcW w:w="1244" w:type="dxa"/>
            <w:vAlign w:val="center"/>
          </w:tcPr>
          <w:p w14:paraId="08533C5E" w14:textId="77777777" w:rsidR="00720091" w:rsidRPr="00EE335B" w:rsidRDefault="00720091"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1,100</w:t>
            </w:r>
          </w:p>
        </w:tc>
        <w:tc>
          <w:tcPr>
            <w:tcW w:w="1243" w:type="dxa"/>
            <w:vAlign w:val="center"/>
          </w:tcPr>
          <w:p w14:paraId="7C3F9013" w14:textId="77777777" w:rsidR="00720091" w:rsidRPr="00EE335B" w:rsidRDefault="00720091"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854</w:t>
            </w:r>
          </w:p>
        </w:tc>
        <w:tc>
          <w:tcPr>
            <w:tcW w:w="1243" w:type="dxa"/>
            <w:vAlign w:val="center"/>
          </w:tcPr>
          <w:p w14:paraId="2D87365E" w14:textId="77777777" w:rsidR="00720091" w:rsidRPr="00EE335B" w:rsidRDefault="00720091"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1,022</w:t>
            </w:r>
          </w:p>
        </w:tc>
        <w:tc>
          <w:tcPr>
            <w:tcW w:w="1244" w:type="dxa"/>
            <w:vAlign w:val="center"/>
          </w:tcPr>
          <w:p w14:paraId="373D8B97" w14:textId="77777777" w:rsidR="00720091" w:rsidRPr="00EE335B" w:rsidRDefault="00720091"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rPr>
              <w:t>1,195</w:t>
            </w:r>
          </w:p>
        </w:tc>
      </w:tr>
      <w:tr w:rsidR="00720091" w:rsidRPr="00EE335B" w14:paraId="2B41295E" w14:textId="77777777" w:rsidTr="001C65F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vAlign w:val="center"/>
          </w:tcPr>
          <w:p w14:paraId="3EF29504" w14:textId="77777777" w:rsidR="00720091" w:rsidRPr="00EE335B" w:rsidRDefault="00720091" w:rsidP="00EE335B">
            <w:pPr>
              <w:pStyle w:val="NoSpacing"/>
              <w:rPr>
                <w:rFonts w:ascii="Times New Roman" w:hAnsi="Times New Roman" w:cs="Times New Roman"/>
                <w:b w:val="0"/>
                <w:color w:val="auto"/>
                <w:sz w:val="14"/>
              </w:rPr>
            </w:pPr>
            <w:r w:rsidRPr="00EE335B">
              <w:rPr>
                <w:rFonts w:ascii="Times New Roman" w:hAnsi="Times New Roman" w:cs="Times New Roman"/>
                <w:b w:val="0"/>
                <w:color w:val="auto"/>
                <w:sz w:val="14"/>
              </w:rPr>
              <w:t>California privates</w:t>
            </w:r>
          </w:p>
        </w:tc>
        <w:tc>
          <w:tcPr>
            <w:tcW w:w="1243" w:type="dxa"/>
            <w:shd w:val="clear" w:color="auto" w:fill="auto"/>
            <w:vAlign w:val="center"/>
          </w:tcPr>
          <w:p w14:paraId="7B4BA30D" w14:textId="77777777" w:rsidR="00720091" w:rsidRPr="00EE335B" w:rsidRDefault="00720091"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eastAsia="Kozuka Gothic Pro L" w:hAnsi="Times New Roman" w:cs="Times New Roman"/>
                <w:color w:val="000000" w:themeColor="text1"/>
                <w:sz w:val="14"/>
                <w:szCs w:val="18"/>
              </w:rPr>
              <w:t>358</w:t>
            </w:r>
          </w:p>
        </w:tc>
        <w:tc>
          <w:tcPr>
            <w:tcW w:w="1243" w:type="dxa"/>
            <w:shd w:val="clear" w:color="auto" w:fill="auto"/>
            <w:vAlign w:val="center"/>
          </w:tcPr>
          <w:p w14:paraId="1FBB1971" w14:textId="77777777" w:rsidR="00720091" w:rsidRPr="00EE335B" w:rsidRDefault="00720091"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385</w:t>
            </w:r>
          </w:p>
        </w:tc>
        <w:tc>
          <w:tcPr>
            <w:tcW w:w="1244" w:type="dxa"/>
            <w:shd w:val="clear" w:color="auto" w:fill="auto"/>
            <w:vAlign w:val="center"/>
          </w:tcPr>
          <w:p w14:paraId="67CBD74B" w14:textId="77777777" w:rsidR="00720091" w:rsidRPr="00EE335B" w:rsidRDefault="00720091"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311</w:t>
            </w:r>
          </w:p>
        </w:tc>
        <w:tc>
          <w:tcPr>
            <w:tcW w:w="1243" w:type="dxa"/>
            <w:shd w:val="clear" w:color="auto" w:fill="auto"/>
            <w:vAlign w:val="center"/>
          </w:tcPr>
          <w:p w14:paraId="120F50E2" w14:textId="77777777" w:rsidR="00720091" w:rsidRPr="00EE335B" w:rsidRDefault="00720091"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357</w:t>
            </w:r>
          </w:p>
        </w:tc>
        <w:tc>
          <w:tcPr>
            <w:tcW w:w="1243" w:type="dxa"/>
            <w:shd w:val="clear" w:color="auto" w:fill="auto"/>
            <w:vAlign w:val="center"/>
          </w:tcPr>
          <w:p w14:paraId="709EB282" w14:textId="77777777" w:rsidR="00720091" w:rsidRPr="00EE335B" w:rsidRDefault="00720091"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250</w:t>
            </w:r>
          </w:p>
        </w:tc>
        <w:tc>
          <w:tcPr>
            <w:tcW w:w="1244" w:type="dxa"/>
            <w:shd w:val="clear" w:color="auto" w:fill="auto"/>
            <w:vAlign w:val="center"/>
          </w:tcPr>
          <w:p w14:paraId="13331F36" w14:textId="77777777" w:rsidR="00720091" w:rsidRPr="00EE335B" w:rsidRDefault="00720091"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473</w:t>
            </w:r>
          </w:p>
        </w:tc>
      </w:tr>
      <w:tr w:rsidR="00720091" w:rsidRPr="00EE335B" w14:paraId="40ADE2D6" w14:textId="77777777" w:rsidTr="001C65FC">
        <w:trPr>
          <w:trHeight w:val="288"/>
          <w:jc w:val="center"/>
        </w:trPr>
        <w:tc>
          <w:tcPr>
            <w:cnfStyle w:val="001000000000" w:firstRow="0" w:lastRow="0" w:firstColumn="1" w:lastColumn="0" w:oddVBand="0" w:evenVBand="0" w:oddHBand="0" w:evenHBand="0" w:firstRowFirstColumn="0" w:firstRowLastColumn="0" w:lastRowFirstColumn="0" w:lastRowLastColumn="0"/>
            <w:tcW w:w="1890" w:type="dxa"/>
            <w:tcBorders>
              <w:bottom w:val="single" w:sz="4" w:space="0" w:color="auto"/>
            </w:tcBorders>
            <w:shd w:val="clear" w:color="auto" w:fill="DAEEF3" w:themeFill="accent5" w:themeFillTint="33"/>
            <w:vAlign w:val="center"/>
          </w:tcPr>
          <w:p w14:paraId="7DDCD150" w14:textId="77777777" w:rsidR="00720091" w:rsidRPr="00EE335B" w:rsidRDefault="00720091" w:rsidP="00EE335B">
            <w:pPr>
              <w:pStyle w:val="NoSpacing"/>
              <w:rPr>
                <w:rFonts w:ascii="Times New Roman" w:hAnsi="Times New Roman" w:cs="Times New Roman"/>
                <w:b w:val="0"/>
                <w:color w:val="auto"/>
                <w:sz w:val="14"/>
              </w:rPr>
            </w:pPr>
            <w:r w:rsidRPr="00EE335B">
              <w:rPr>
                <w:rFonts w:ascii="Times New Roman" w:hAnsi="Times New Roman" w:cs="Times New Roman"/>
                <w:b w:val="0"/>
                <w:color w:val="auto"/>
                <w:sz w:val="14"/>
              </w:rPr>
              <w:t>Out-of-states</w:t>
            </w:r>
          </w:p>
        </w:tc>
        <w:tc>
          <w:tcPr>
            <w:tcW w:w="1243" w:type="dxa"/>
            <w:tcBorders>
              <w:bottom w:val="single" w:sz="4" w:space="0" w:color="auto"/>
            </w:tcBorders>
            <w:vAlign w:val="center"/>
          </w:tcPr>
          <w:p w14:paraId="1B56E5EC" w14:textId="77777777" w:rsidR="00720091" w:rsidRPr="00EE335B" w:rsidRDefault="00720091"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eastAsia="Kozuka Gothic Pro L" w:hAnsi="Times New Roman" w:cs="Times New Roman"/>
                <w:color w:val="000000" w:themeColor="text1"/>
                <w:sz w:val="14"/>
                <w:szCs w:val="18"/>
              </w:rPr>
              <w:t>293</w:t>
            </w:r>
          </w:p>
        </w:tc>
        <w:tc>
          <w:tcPr>
            <w:tcW w:w="1243" w:type="dxa"/>
            <w:tcBorders>
              <w:bottom w:val="single" w:sz="4" w:space="0" w:color="auto"/>
            </w:tcBorders>
            <w:vAlign w:val="center"/>
          </w:tcPr>
          <w:p w14:paraId="6FBF4BF3" w14:textId="77777777" w:rsidR="00720091" w:rsidRPr="00EE335B" w:rsidRDefault="00720091"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318</w:t>
            </w:r>
          </w:p>
        </w:tc>
        <w:tc>
          <w:tcPr>
            <w:tcW w:w="1244" w:type="dxa"/>
            <w:tcBorders>
              <w:bottom w:val="single" w:sz="4" w:space="0" w:color="auto"/>
            </w:tcBorders>
            <w:vAlign w:val="center"/>
          </w:tcPr>
          <w:p w14:paraId="18D1927B" w14:textId="77777777" w:rsidR="00720091" w:rsidRPr="00EE335B" w:rsidRDefault="00720091"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306</w:t>
            </w:r>
          </w:p>
        </w:tc>
        <w:tc>
          <w:tcPr>
            <w:tcW w:w="1243" w:type="dxa"/>
            <w:tcBorders>
              <w:bottom w:val="single" w:sz="4" w:space="0" w:color="auto"/>
            </w:tcBorders>
            <w:vAlign w:val="center"/>
          </w:tcPr>
          <w:p w14:paraId="3AED2D0F" w14:textId="77777777" w:rsidR="00720091" w:rsidRPr="00EE335B" w:rsidRDefault="00720091"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320</w:t>
            </w:r>
          </w:p>
        </w:tc>
        <w:tc>
          <w:tcPr>
            <w:tcW w:w="1243" w:type="dxa"/>
            <w:tcBorders>
              <w:bottom w:val="single" w:sz="4" w:space="0" w:color="auto"/>
            </w:tcBorders>
            <w:vAlign w:val="center"/>
          </w:tcPr>
          <w:p w14:paraId="37E67104" w14:textId="77777777" w:rsidR="00720091" w:rsidRPr="00EE335B" w:rsidRDefault="00720091"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297</w:t>
            </w:r>
          </w:p>
        </w:tc>
        <w:tc>
          <w:tcPr>
            <w:tcW w:w="1244" w:type="dxa"/>
            <w:tcBorders>
              <w:bottom w:val="single" w:sz="4" w:space="0" w:color="auto"/>
            </w:tcBorders>
            <w:vAlign w:val="center"/>
          </w:tcPr>
          <w:p w14:paraId="1E8A74C1" w14:textId="77777777" w:rsidR="00720091" w:rsidRPr="00EE335B" w:rsidRDefault="00720091" w:rsidP="00EE335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365</w:t>
            </w:r>
          </w:p>
        </w:tc>
      </w:tr>
      <w:tr w:rsidR="00720091" w:rsidRPr="00EE335B" w14:paraId="60D40B43" w14:textId="77777777" w:rsidTr="001C65F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auto"/>
              <w:bottom w:val="single" w:sz="4" w:space="0" w:color="auto"/>
            </w:tcBorders>
            <w:shd w:val="clear" w:color="auto" w:fill="FFFFFF" w:themeFill="background1"/>
            <w:vAlign w:val="center"/>
          </w:tcPr>
          <w:p w14:paraId="69E3F399" w14:textId="77777777" w:rsidR="00720091" w:rsidRPr="00EE335B" w:rsidRDefault="00720091" w:rsidP="00EE335B">
            <w:pPr>
              <w:rPr>
                <w:rFonts w:cs="Times New Roman"/>
                <w:b w:val="0"/>
                <w:color w:val="215868" w:themeColor="accent5" w:themeShade="80"/>
                <w:sz w:val="14"/>
              </w:rPr>
            </w:pPr>
            <w:r w:rsidRPr="00EE335B">
              <w:rPr>
                <w:rFonts w:cs="Times New Roman"/>
                <w:b w:val="0"/>
                <w:color w:val="215868" w:themeColor="accent5" w:themeShade="80"/>
                <w:sz w:val="14"/>
              </w:rPr>
              <w:t>Total</w:t>
            </w:r>
          </w:p>
        </w:tc>
        <w:tc>
          <w:tcPr>
            <w:tcW w:w="1243" w:type="dxa"/>
            <w:tcBorders>
              <w:top w:val="single" w:sz="4" w:space="0" w:color="auto"/>
              <w:bottom w:val="single" w:sz="4" w:space="0" w:color="auto"/>
            </w:tcBorders>
            <w:shd w:val="clear" w:color="auto" w:fill="FFFFFF" w:themeFill="background1"/>
            <w:vAlign w:val="center"/>
          </w:tcPr>
          <w:p w14:paraId="690515D6" w14:textId="77777777" w:rsidR="00720091" w:rsidRPr="00EE335B" w:rsidRDefault="00720091"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2,484</w:t>
            </w:r>
          </w:p>
        </w:tc>
        <w:tc>
          <w:tcPr>
            <w:tcW w:w="1243" w:type="dxa"/>
            <w:tcBorders>
              <w:top w:val="single" w:sz="4" w:space="0" w:color="auto"/>
              <w:bottom w:val="single" w:sz="4" w:space="0" w:color="auto"/>
            </w:tcBorders>
            <w:shd w:val="clear" w:color="auto" w:fill="FFFFFF" w:themeFill="background1"/>
            <w:vAlign w:val="center"/>
          </w:tcPr>
          <w:p w14:paraId="0323AA1B" w14:textId="77777777" w:rsidR="00720091" w:rsidRPr="00EE335B" w:rsidRDefault="00720091"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2,766</w:t>
            </w:r>
          </w:p>
        </w:tc>
        <w:tc>
          <w:tcPr>
            <w:tcW w:w="1244" w:type="dxa"/>
            <w:tcBorders>
              <w:top w:val="single" w:sz="4" w:space="0" w:color="auto"/>
              <w:bottom w:val="single" w:sz="4" w:space="0" w:color="auto"/>
            </w:tcBorders>
            <w:shd w:val="clear" w:color="auto" w:fill="FFFFFF" w:themeFill="background1"/>
            <w:vAlign w:val="center"/>
          </w:tcPr>
          <w:p w14:paraId="0A418EDA" w14:textId="77777777" w:rsidR="00720091" w:rsidRPr="00EE335B" w:rsidRDefault="00720091"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2,793</w:t>
            </w:r>
          </w:p>
        </w:tc>
        <w:tc>
          <w:tcPr>
            <w:tcW w:w="1243" w:type="dxa"/>
            <w:tcBorders>
              <w:top w:val="single" w:sz="4" w:space="0" w:color="auto"/>
              <w:bottom w:val="single" w:sz="4" w:space="0" w:color="auto"/>
            </w:tcBorders>
            <w:shd w:val="clear" w:color="auto" w:fill="FFFFFF" w:themeFill="background1"/>
            <w:vAlign w:val="center"/>
          </w:tcPr>
          <w:p w14:paraId="1011E7CA" w14:textId="77777777" w:rsidR="00720091" w:rsidRPr="00EE335B" w:rsidRDefault="00720091"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2,590</w:t>
            </w:r>
          </w:p>
        </w:tc>
        <w:tc>
          <w:tcPr>
            <w:tcW w:w="1243" w:type="dxa"/>
            <w:tcBorders>
              <w:top w:val="single" w:sz="4" w:space="0" w:color="auto"/>
              <w:bottom w:val="single" w:sz="4" w:space="0" w:color="auto"/>
            </w:tcBorders>
            <w:shd w:val="clear" w:color="auto" w:fill="FFFFFF" w:themeFill="background1"/>
            <w:vAlign w:val="center"/>
          </w:tcPr>
          <w:p w14:paraId="19F5E966" w14:textId="77777777" w:rsidR="00720091" w:rsidRPr="00EE335B" w:rsidRDefault="00720091"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2,606</w:t>
            </w:r>
          </w:p>
        </w:tc>
        <w:tc>
          <w:tcPr>
            <w:tcW w:w="1244" w:type="dxa"/>
            <w:tcBorders>
              <w:top w:val="single" w:sz="4" w:space="0" w:color="auto"/>
              <w:bottom w:val="single" w:sz="4" w:space="0" w:color="auto"/>
            </w:tcBorders>
            <w:shd w:val="clear" w:color="auto" w:fill="FFFFFF" w:themeFill="background1"/>
            <w:vAlign w:val="center"/>
          </w:tcPr>
          <w:p w14:paraId="0A079B0E" w14:textId="77777777" w:rsidR="00720091" w:rsidRPr="00EE335B" w:rsidRDefault="00720091" w:rsidP="00EE335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EE335B">
              <w:rPr>
                <w:rFonts w:ascii="Times New Roman" w:hAnsi="Times New Roman" w:cs="Times New Roman"/>
                <w:sz w:val="14"/>
                <w:szCs w:val="14"/>
              </w:rPr>
              <w:t>3,107</w:t>
            </w:r>
          </w:p>
        </w:tc>
      </w:tr>
    </w:tbl>
    <w:p w14:paraId="41C1011D" w14:textId="77777777" w:rsidR="00720091" w:rsidRPr="00EE335B" w:rsidRDefault="00720091" w:rsidP="003F6D20">
      <w:pPr>
        <w:rPr>
          <w:rFonts w:cs="Times New Roman"/>
          <w:sz w:val="20"/>
        </w:rPr>
      </w:pPr>
      <w:r w:rsidRPr="00EE335B">
        <w:rPr>
          <w:rFonts w:cs="Times New Roman"/>
          <w:i/>
          <w:sz w:val="14"/>
        </w:rPr>
        <w:t>Source: CSU Analytics Studies website, UC Office of the President, and California Community College Chancellor’s Office (CCCCO) Data Mart</w:t>
      </w:r>
    </w:p>
    <w:p w14:paraId="644CC1AA" w14:textId="77777777" w:rsidR="00720091" w:rsidRDefault="00720091" w:rsidP="00F1162D">
      <w:pPr>
        <w:pStyle w:val="Heading3"/>
      </w:pPr>
      <w:r w:rsidRPr="00EE335B">
        <w:t>Instructional Locations</w:t>
      </w:r>
    </w:p>
    <w:p w14:paraId="49D0155E" w14:textId="648B9EA6" w:rsidR="00720091" w:rsidRDefault="00720091" w:rsidP="00B71792">
      <w:pPr>
        <w:pStyle w:val="Normalwithspacebetween"/>
      </w:pPr>
      <w:r w:rsidRPr="00EE335B">
        <w:t xml:space="preserve">Santa Monica College </w:t>
      </w:r>
      <w:r>
        <w:t xml:space="preserve">provides instruction on its main campus and five satellite </w:t>
      </w:r>
      <w:r w:rsidRPr="00EE335B">
        <w:t>sites</w:t>
      </w:r>
      <w:r w:rsidR="00A45497">
        <w:t>.</w:t>
      </w:r>
    </w:p>
    <w:p w14:paraId="4CE0C2C3" w14:textId="77777777" w:rsidR="00A45497" w:rsidRDefault="00A45497" w:rsidP="009A7DC5">
      <w:pPr>
        <w:pStyle w:val="NormalWeb"/>
        <w:shd w:val="clear" w:color="auto" w:fill="FFFFFF"/>
        <w:rPr>
          <w:sz w:val="20"/>
          <w:szCs w:val="22"/>
        </w:rPr>
        <w:sectPr w:rsidR="00A45497" w:rsidSect="007F7466">
          <w:footerReference w:type="even" r:id="rId36"/>
          <w:footerReference w:type="default" r:id="rId37"/>
          <w:type w:val="continuous"/>
          <w:pgSz w:w="12240" w:h="15840"/>
          <w:pgMar w:top="1440" w:right="1440" w:bottom="1440" w:left="1800" w:header="720" w:footer="720" w:gutter="0"/>
          <w:cols w:space="720"/>
          <w:docGrid w:linePitch="360"/>
        </w:sectPr>
      </w:pPr>
    </w:p>
    <w:p w14:paraId="02D59207" w14:textId="2CBF95C0" w:rsidR="00720091" w:rsidRPr="00A45497" w:rsidRDefault="00DC7C37" w:rsidP="009A7DC5">
      <w:pPr>
        <w:pStyle w:val="NormalWeb"/>
        <w:shd w:val="clear" w:color="auto" w:fill="FFFFFF"/>
        <w:rPr>
          <w:rFonts w:ascii="Trebuchet MS" w:hAnsi="Trebuchet MS"/>
          <w:color w:val="000000"/>
          <w:sz w:val="20"/>
          <w:szCs w:val="22"/>
        </w:rPr>
      </w:pPr>
      <w:hyperlink r:id="rId38" w:tgtFrame="_blank" w:history="1">
        <w:r w:rsidR="00720091" w:rsidRPr="00A45497">
          <w:rPr>
            <w:rStyle w:val="Hyperlink"/>
            <w:rFonts w:ascii="Trebuchet MS" w:hAnsi="Trebuchet MS"/>
            <w:b/>
            <w:bCs/>
            <w:color w:val="1177B1"/>
            <w:sz w:val="20"/>
            <w:szCs w:val="22"/>
          </w:rPr>
          <w:t>Main Campus</w:t>
        </w:r>
      </w:hyperlink>
      <w:r w:rsidR="00720091" w:rsidRPr="00A45497">
        <w:rPr>
          <w:rFonts w:ascii="Trebuchet MS" w:hAnsi="Trebuchet MS"/>
          <w:color w:val="000000"/>
          <w:sz w:val="20"/>
          <w:szCs w:val="22"/>
        </w:rPr>
        <w:br/>
        <w:t>1900 Pico Boulevard</w:t>
      </w:r>
      <w:r w:rsidR="00720091" w:rsidRPr="00A45497">
        <w:rPr>
          <w:rFonts w:ascii="Trebuchet MS" w:hAnsi="Trebuchet MS"/>
          <w:color w:val="000000"/>
          <w:sz w:val="20"/>
          <w:szCs w:val="22"/>
        </w:rPr>
        <w:br/>
        <w:t>Santa Monica, CA 90405</w:t>
      </w:r>
    </w:p>
    <w:p w14:paraId="564FCB24" w14:textId="77777777" w:rsidR="00720091" w:rsidRPr="00A45497" w:rsidRDefault="00DC7C37" w:rsidP="009A7DC5">
      <w:pPr>
        <w:pStyle w:val="NormalWeb"/>
        <w:shd w:val="clear" w:color="auto" w:fill="FFFFFF"/>
        <w:rPr>
          <w:rFonts w:ascii="Trebuchet MS" w:hAnsi="Trebuchet MS"/>
          <w:color w:val="000000"/>
          <w:sz w:val="20"/>
          <w:szCs w:val="22"/>
        </w:rPr>
      </w:pPr>
      <w:hyperlink r:id="rId39" w:tgtFrame="_blank" w:history="1">
        <w:r w:rsidR="00720091" w:rsidRPr="00A45497">
          <w:rPr>
            <w:rStyle w:val="Hyperlink"/>
            <w:rFonts w:ascii="Trebuchet MS" w:hAnsi="Trebuchet MS"/>
            <w:b/>
            <w:bCs/>
            <w:color w:val="1177B1"/>
            <w:sz w:val="20"/>
            <w:szCs w:val="22"/>
          </w:rPr>
          <w:t>Performing Arts Center</w:t>
        </w:r>
      </w:hyperlink>
      <w:r w:rsidR="00720091" w:rsidRPr="00A45497">
        <w:rPr>
          <w:rFonts w:ascii="Trebuchet MS" w:hAnsi="Trebuchet MS"/>
          <w:b/>
          <w:bCs/>
          <w:color w:val="000000"/>
          <w:sz w:val="20"/>
          <w:szCs w:val="22"/>
        </w:rPr>
        <w:br/>
      </w:r>
      <w:r w:rsidR="00720091" w:rsidRPr="00A45497">
        <w:rPr>
          <w:rFonts w:ascii="Trebuchet MS" w:hAnsi="Trebuchet MS"/>
          <w:color w:val="000000"/>
          <w:sz w:val="20"/>
          <w:szCs w:val="22"/>
        </w:rPr>
        <w:t>1310 11th Street</w:t>
      </w:r>
      <w:r w:rsidR="00720091" w:rsidRPr="00A45497">
        <w:rPr>
          <w:rFonts w:ascii="Trebuchet MS" w:hAnsi="Trebuchet MS"/>
          <w:color w:val="000000"/>
          <w:sz w:val="20"/>
          <w:szCs w:val="22"/>
        </w:rPr>
        <w:br/>
        <w:t>Santa Monica, CA 90401</w:t>
      </w:r>
    </w:p>
    <w:p w14:paraId="4E31118D" w14:textId="6E0A0D77" w:rsidR="00720091" w:rsidRPr="00A45497" w:rsidRDefault="00DC7C37" w:rsidP="009A7DC5">
      <w:pPr>
        <w:pStyle w:val="NormalWeb"/>
        <w:shd w:val="clear" w:color="auto" w:fill="FFFFFF"/>
        <w:rPr>
          <w:rFonts w:ascii="Trebuchet MS" w:hAnsi="Trebuchet MS"/>
          <w:color w:val="000000"/>
          <w:sz w:val="20"/>
          <w:szCs w:val="22"/>
        </w:rPr>
      </w:pPr>
      <w:hyperlink r:id="rId40" w:tgtFrame="_blank" w:history="1">
        <w:r w:rsidR="00720091" w:rsidRPr="00A45497">
          <w:rPr>
            <w:rStyle w:val="Hyperlink"/>
            <w:rFonts w:ascii="Trebuchet MS" w:hAnsi="Trebuchet MS"/>
            <w:b/>
            <w:bCs/>
            <w:color w:val="1177B1"/>
            <w:sz w:val="20"/>
            <w:szCs w:val="22"/>
          </w:rPr>
          <w:t>Center for Media &amp; Design</w:t>
        </w:r>
      </w:hyperlink>
      <w:r w:rsidR="00720091" w:rsidRPr="00A45497">
        <w:rPr>
          <w:rFonts w:ascii="Trebuchet MS" w:hAnsi="Trebuchet MS"/>
          <w:color w:val="000000"/>
          <w:sz w:val="20"/>
          <w:szCs w:val="22"/>
        </w:rPr>
        <w:br/>
        <w:t>1660 Stewart Street</w:t>
      </w:r>
      <w:r w:rsidR="00720091" w:rsidRPr="00A45497">
        <w:rPr>
          <w:rFonts w:ascii="Trebuchet MS" w:hAnsi="Trebuchet MS"/>
          <w:color w:val="000000"/>
          <w:sz w:val="20"/>
          <w:szCs w:val="22"/>
        </w:rPr>
        <w:br/>
        <w:t>Santa Monica, CA 90404</w:t>
      </w:r>
    </w:p>
    <w:p w14:paraId="4B7B272A" w14:textId="77777777" w:rsidR="00720091" w:rsidRPr="00A45497" w:rsidRDefault="00DC7C37" w:rsidP="009A7DC5">
      <w:pPr>
        <w:pStyle w:val="NormalWeb"/>
        <w:shd w:val="clear" w:color="auto" w:fill="FFFFFF"/>
        <w:rPr>
          <w:rFonts w:ascii="Trebuchet MS" w:hAnsi="Trebuchet MS"/>
          <w:color w:val="000000"/>
          <w:sz w:val="20"/>
          <w:szCs w:val="22"/>
        </w:rPr>
      </w:pPr>
      <w:hyperlink r:id="rId41" w:tgtFrame="_blank" w:history="1">
        <w:r w:rsidR="00720091" w:rsidRPr="00A45497">
          <w:rPr>
            <w:rStyle w:val="Hyperlink"/>
            <w:rFonts w:ascii="Trebuchet MS" w:hAnsi="Trebuchet MS"/>
            <w:b/>
            <w:bCs/>
            <w:color w:val="1177B1"/>
            <w:sz w:val="20"/>
            <w:szCs w:val="22"/>
          </w:rPr>
          <w:t>Airport Arts Campus</w:t>
        </w:r>
      </w:hyperlink>
      <w:r w:rsidR="00720091" w:rsidRPr="00A45497">
        <w:rPr>
          <w:rFonts w:ascii="Trebuchet MS" w:hAnsi="Trebuchet MS"/>
          <w:b/>
          <w:bCs/>
          <w:color w:val="000000"/>
          <w:sz w:val="20"/>
          <w:szCs w:val="22"/>
        </w:rPr>
        <w:br/>
      </w:r>
      <w:r w:rsidR="00720091" w:rsidRPr="00A45497">
        <w:rPr>
          <w:rFonts w:ascii="Trebuchet MS" w:hAnsi="Trebuchet MS"/>
          <w:color w:val="000000"/>
          <w:sz w:val="20"/>
          <w:szCs w:val="22"/>
        </w:rPr>
        <w:t>2800 Airport Avenue</w:t>
      </w:r>
      <w:r w:rsidR="00720091" w:rsidRPr="00A45497">
        <w:rPr>
          <w:rFonts w:ascii="Trebuchet MS" w:hAnsi="Trebuchet MS"/>
          <w:color w:val="000000"/>
          <w:sz w:val="20"/>
          <w:szCs w:val="22"/>
        </w:rPr>
        <w:br/>
        <w:t>Santa Monica, CA 90405</w:t>
      </w:r>
    </w:p>
    <w:p w14:paraId="4E9A4109" w14:textId="77777777" w:rsidR="00720091" w:rsidRPr="00A45497" w:rsidRDefault="00DC7C37" w:rsidP="009A7DC5">
      <w:pPr>
        <w:pStyle w:val="NormalWeb"/>
        <w:shd w:val="clear" w:color="auto" w:fill="FFFFFF"/>
        <w:rPr>
          <w:rFonts w:ascii="Trebuchet MS" w:hAnsi="Trebuchet MS"/>
          <w:color w:val="000000"/>
          <w:sz w:val="20"/>
          <w:szCs w:val="22"/>
        </w:rPr>
      </w:pPr>
      <w:hyperlink r:id="rId42" w:tgtFrame="_blank" w:history="1">
        <w:r w:rsidR="00720091" w:rsidRPr="00A45497">
          <w:rPr>
            <w:rStyle w:val="Hyperlink"/>
            <w:rFonts w:ascii="Trebuchet MS" w:hAnsi="Trebuchet MS"/>
            <w:b/>
            <w:bCs/>
            <w:color w:val="1177B1"/>
            <w:sz w:val="20"/>
            <w:szCs w:val="22"/>
          </w:rPr>
          <w:t>Emeritus College</w:t>
        </w:r>
      </w:hyperlink>
      <w:r w:rsidR="00720091" w:rsidRPr="00A45497">
        <w:rPr>
          <w:rFonts w:ascii="Trebuchet MS" w:hAnsi="Trebuchet MS"/>
          <w:b/>
          <w:bCs/>
          <w:color w:val="000000"/>
          <w:sz w:val="20"/>
          <w:szCs w:val="22"/>
        </w:rPr>
        <w:br/>
      </w:r>
      <w:r w:rsidR="00720091" w:rsidRPr="00A45497">
        <w:rPr>
          <w:rFonts w:ascii="Trebuchet MS" w:hAnsi="Trebuchet MS"/>
          <w:color w:val="000000"/>
          <w:sz w:val="20"/>
          <w:szCs w:val="22"/>
        </w:rPr>
        <w:t>1227 2nd Street</w:t>
      </w:r>
      <w:r w:rsidR="00720091" w:rsidRPr="00A45497">
        <w:rPr>
          <w:rFonts w:ascii="Trebuchet MS" w:hAnsi="Trebuchet MS"/>
          <w:color w:val="000000"/>
          <w:sz w:val="20"/>
          <w:szCs w:val="22"/>
        </w:rPr>
        <w:br/>
        <w:t>Santa Monica, CA 90401</w:t>
      </w:r>
    </w:p>
    <w:p w14:paraId="421E3D43" w14:textId="77777777" w:rsidR="00A45497" w:rsidRDefault="00DC7C37" w:rsidP="009A7DC5">
      <w:pPr>
        <w:pStyle w:val="NormalWeb"/>
        <w:shd w:val="clear" w:color="auto" w:fill="FFFFFF"/>
        <w:rPr>
          <w:rFonts w:ascii="Trebuchet MS" w:hAnsi="Trebuchet MS"/>
          <w:color w:val="000000"/>
          <w:sz w:val="20"/>
          <w:szCs w:val="22"/>
        </w:rPr>
        <w:sectPr w:rsidR="00A45497" w:rsidSect="00A45497">
          <w:type w:val="continuous"/>
          <w:pgSz w:w="12240" w:h="15840"/>
          <w:pgMar w:top="1440" w:right="1440" w:bottom="1440" w:left="1800" w:header="720" w:footer="720" w:gutter="0"/>
          <w:cols w:num="2" w:space="720"/>
          <w:docGrid w:linePitch="360"/>
        </w:sectPr>
      </w:pPr>
      <w:hyperlink r:id="rId43" w:tgtFrame="_blank" w:history="1">
        <w:r w:rsidR="00720091" w:rsidRPr="00A45497">
          <w:rPr>
            <w:rStyle w:val="Hyperlink"/>
            <w:rFonts w:ascii="Trebuchet MS" w:hAnsi="Trebuchet MS"/>
            <w:b/>
            <w:bCs/>
            <w:color w:val="1177B1"/>
            <w:sz w:val="20"/>
            <w:szCs w:val="22"/>
          </w:rPr>
          <w:t>Santa Monica Bundy Campus</w:t>
        </w:r>
      </w:hyperlink>
      <w:r w:rsidR="00720091" w:rsidRPr="00A45497">
        <w:rPr>
          <w:rFonts w:ascii="Trebuchet MS" w:hAnsi="Trebuchet MS"/>
          <w:color w:val="000000"/>
          <w:sz w:val="20"/>
          <w:szCs w:val="22"/>
        </w:rPr>
        <w:br/>
        <w:t>3171 S. Bundy Drive</w:t>
      </w:r>
      <w:r w:rsidR="00720091" w:rsidRPr="00A45497">
        <w:rPr>
          <w:rFonts w:ascii="Trebuchet MS" w:hAnsi="Trebuchet MS"/>
          <w:color w:val="000000"/>
          <w:sz w:val="20"/>
          <w:szCs w:val="22"/>
        </w:rPr>
        <w:br/>
        <w:t>Los Angeles, CA 90066</w:t>
      </w:r>
    </w:p>
    <w:p w14:paraId="53F8A796" w14:textId="77777777" w:rsidR="00720091" w:rsidRPr="00EE335B" w:rsidRDefault="00720091" w:rsidP="00493ABB">
      <w:pPr>
        <w:spacing w:before="120" w:after="120"/>
        <w:rPr>
          <w:rFonts w:cs="Times New Roman"/>
          <w:b/>
        </w:rPr>
      </w:pPr>
      <w:r w:rsidRPr="00EE335B">
        <w:rPr>
          <w:rFonts w:cs="Times New Roman"/>
          <w:b/>
        </w:rPr>
        <w:t>Specialized or Programmatic Accreditation</w:t>
      </w:r>
    </w:p>
    <w:p w14:paraId="7F440B28" w14:textId="32AD846B" w:rsidR="00720091" w:rsidRDefault="00720091" w:rsidP="00493ABB">
      <w:r w:rsidRPr="00EE335B">
        <w:t xml:space="preserve">Two academic programs at </w:t>
      </w:r>
      <w:r>
        <w:t>Santa Monica College</w:t>
      </w:r>
      <w:r w:rsidRPr="00EE335B">
        <w:t xml:space="preserve"> are currently accredited by a specialized accrediting agencies. The Associate in Science degree in Nursing Program, better known as the “ADN program,” is accredited by the Accreditation Commission for Education in Nursing, Inc. (ACEN)</w:t>
      </w:r>
      <w:r>
        <w:t xml:space="preserve">, which was </w:t>
      </w:r>
      <w:r w:rsidRPr="00EE335B">
        <w:t>reaffirmed on September18, 2014.</w:t>
      </w:r>
    </w:p>
    <w:p w14:paraId="75CC1593" w14:textId="1C33D4B3" w:rsidR="00720091" w:rsidRDefault="00720091" w:rsidP="00B71792">
      <w:pPr>
        <w:pStyle w:val="Normalwithspacebetween"/>
      </w:pPr>
      <w:r>
        <w:t>S</w:t>
      </w:r>
      <w:r w:rsidRPr="00EE335B">
        <w:t xml:space="preserve">anta Monica College </w:t>
      </w:r>
      <w:r>
        <w:t xml:space="preserve">also maintains a long standing </w:t>
      </w:r>
      <w:r w:rsidRPr="00EE335B">
        <w:t>partnership with East Los Angeles College</w:t>
      </w:r>
      <w:r>
        <w:t xml:space="preserve"> to provide the</w:t>
      </w:r>
      <w:r w:rsidRPr="00EE335B">
        <w:t xml:space="preserve"> (ELAC/SMC) Respiratory Therapy Program, which is accredited by the Commission on Accreditation for Respiratory Care</w:t>
      </w:r>
      <w:r>
        <w:t>, reaffirmed on November 21, 2014</w:t>
      </w:r>
      <w:r w:rsidRPr="00EE335B">
        <w:t xml:space="preserve">.  </w:t>
      </w:r>
    </w:p>
    <w:p w14:paraId="6DD9B09B" w14:textId="671582BA" w:rsidR="00720091" w:rsidRDefault="00720091" w:rsidP="00B71792">
      <w:pPr>
        <w:pStyle w:val="Normalwithspacebetween"/>
      </w:pPr>
      <w:r>
        <w:t>T</w:t>
      </w:r>
      <w:r w:rsidRPr="00EE335B">
        <w:t>he Early Childhood/Education Department is in the process of seeking accreditation through the National Association for the Education of Young Children (NAEYC). NAEYC accredits high-quality Associate Degree Programs that prepare early childhood educations. NAEYC’s sit</w:t>
      </w:r>
      <w:r>
        <w:t>e visit is scheduled for Spring</w:t>
      </w:r>
      <w:r w:rsidRPr="00EE335B">
        <w:t xml:space="preserve"> 2017.</w:t>
      </w:r>
    </w:p>
    <w:p w14:paraId="54A73345" w14:textId="4E64E214" w:rsidR="00A45497" w:rsidRDefault="00720091" w:rsidP="00C11872">
      <w:pPr>
        <w:pStyle w:val="Normalwithspacebetween"/>
      </w:pPr>
      <w:r>
        <w:t>The College’s new baccalaureate degree in Interaction Design has received interim accreditation from the ACCJC and a site visit is scheduled to occur at the same time as the External Evaluation Team visit in October 2016.</w:t>
      </w:r>
    </w:p>
    <w:p w14:paraId="0F41EACA" w14:textId="77777777" w:rsidR="00A45497" w:rsidRDefault="00A45497">
      <w:r>
        <w:br w:type="page"/>
      </w:r>
    </w:p>
    <w:p w14:paraId="2FE70C82" w14:textId="24B9E6A7" w:rsidR="00720091" w:rsidRPr="00EE335B" w:rsidRDefault="00720091" w:rsidP="006A2C33">
      <w:pPr>
        <w:pStyle w:val="Heading1"/>
      </w:pPr>
      <w:r w:rsidRPr="00EE335B">
        <w:lastRenderedPageBreak/>
        <w:t>Organization of the Self Evaluation Process</w:t>
      </w:r>
    </w:p>
    <w:p w14:paraId="0E3E5329" w14:textId="34221F0F" w:rsidR="00720091" w:rsidRDefault="00720091" w:rsidP="00CE5DFB">
      <w:pPr>
        <w:pStyle w:val="Normalwithspacebetween"/>
      </w:pPr>
      <w:r>
        <w:t>Santa Monica College is pleased to submit this 2016 Institutional Self Evaluation report as part of its reaffirmation of accreditation.  The</w:t>
      </w:r>
      <w:r w:rsidRPr="00EE335B">
        <w:t xml:space="preserve"> College is a self-reflective institution and has been engaged in dialogue and research </w:t>
      </w:r>
      <w:r>
        <w:t xml:space="preserve">to </w:t>
      </w:r>
      <w:r w:rsidRPr="00EE335B">
        <w:t xml:space="preserve">assess </w:t>
      </w:r>
      <w:r>
        <w:t>and document how it meets the Accreditation Standards established by the Accrediting Commission for Community and Junior Colleges (ACCJC)</w:t>
      </w:r>
      <w:r w:rsidRPr="00EE335B">
        <w:t xml:space="preserve">. </w:t>
      </w:r>
    </w:p>
    <w:p w14:paraId="65A816A5" w14:textId="6D36BD38" w:rsidR="00720091" w:rsidRDefault="00720091" w:rsidP="00CE5DFB">
      <w:pPr>
        <w:pStyle w:val="Normalwithspacebetween"/>
      </w:pPr>
      <w:r>
        <w:t xml:space="preserve">A key component of this effort has been in operation since March 2011, when the College established the scope of the Academic Senate Joint Institutional Effectiveness Committee to work with </w:t>
      </w:r>
      <w:r w:rsidRPr="00CE5DFB">
        <w:t>all district units in the formulation, assessment, and analyses of multiple effectiveness measures to inform the Program Review and Institutional Planning processes as well as</w:t>
      </w:r>
      <w:r>
        <w:t xml:space="preserve"> to</w:t>
      </w:r>
      <w:r w:rsidRPr="00CE5DFB">
        <w:t xml:space="preserve"> aid in the preparation of periodic accreditation self-studies.</w:t>
      </w:r>
      <w:r>
        <w:t xml:space="preserve"> Focused efforts of this committee that directly contribute to the Accreditation Self Evaluation efforts include the development and ongoing assessment of key indicators of institutional effectiveness; guiding the development and assessment of student learning outcomes, program outcomes, and administrative unit outcomes; ensuring that outcomes are aligned with the Mission of the College; and coordinating these annual assessments with other institutional processes so that together they present an accurate picture of the effectiveness of the College, which can then be used to guide future planning and resource allocation. </w:t>
      </w:r>
    </w:p>
    <w:p w14:paraId="015F4C6E" w14:textId="2AA04013" w:rsidR="00720091" w:rsidRDefault="00720091" w:rsidP="00493ABB">
      <w:pPr>
        <w:pStyle w:val="Normalwithspacebetween"/>
      </w:pPr>
      <w:r>
        <w:t>Planning for the Self Evaluation report began during Fall 2013, when the then-Accreditation Liaison Officer (ALO) and the Accreditation Co-Chairs met to assemble the initial roster of Standard Co-Chairs and other members of the Accreditation Steering Committee, as well as identify co-chairs to head the subcommittees assigned to each of the standard subsections.  The Superintendent/President, the ALO, and the Accreditation Co-Chairs agreed to follow the longstanding tradition of appointing a faculty member and an administrator as co-chairs of each committees and subcommittees.</w:t>
      </w:r>
    </w:p>
    <w:p w14:paraId="739DFB11" w14:textId="0D480E6A" w:rsidR="00720091" w:rsidRDefault="00720091" w:rsidP="00493ABB">
      <w:pPr>
        <w:pStyle w:val="Normalwithspacebetween"/>
      </w:pPr>
      <w:r>
        <w:t>With this organizational structure set, the Steering Committee and Accreditation Standards Committees began identifying key college individuals to contribute to this effort and soliciting volunteers to serve where additional expertise was deemed necessary.  Outreach was made to administrators and managers, classified staff, faculty and students.</w:t>
      </w:r>
    </w:p>
    <w:p w14:paraId="3949B120" w14:textId="45060F6F" w:rsidR="00720091" w:rsidRDefault="00720091" w:rsidP="00493ABB">
      <w:pPr>
        <w:pStyle w:val="Normalwithspacebetween"/>
      </w:pPr>
      <w:r>
        <w:t xml:space="preserve">The first event associated specifically with the current Self Evaluation process was the ACCJC-led training in March 2014 at Glendale Community College.  This was followed by an orientation with all members of the Steering Committee and the Accreditation Standards subcommittees.  After that meeting, the Steering Committee laid out its master schedule and began the work in earnest to gather, assess, and document with evidence, how and to what extent the College was meeting each of the standards.  </w:t>
      </w:r>
    </w:p>
    <w:p w14:paraId="0A522CFB" w14:textId="2F282D90" w:rsidR="00720091" w:rsidRDefault="00720091" w:rsidP="00493ABB">
      <w:pPr>
        <w:pStyle w:val="Normalwithspacebetween"/>
      </w:pPr>
      <w:r>
        <w:t>In August 2014, the College suddenly and unexpectedly lost a valued and respected colleague, Randal Lawson.  Dr. Georgia Lorenz assumed the role of Accreditation Liaison Officer following the loss of the College’s beloved colleague.</w:t>
      </w:r>
    </w:p>
    <w:p w14:paraId="26489B93" w14:textId="148AEFB1" w:rsidR="00720091" w:rsidRDefault="00720091" w:rsidP="006A2C33">
      <w:pPr>
        <w:pStyle w:val="Normalwithspacebetween"/>
      </w:pPr>
      <w:r>
        <w:t xml:space="preserve">As reflected in the Self Evaluation timeline, the Steering Committee met frequently to assess </w:t>
      </w:r>
      <w:r w:rsidRPr="00EE335B">
        <w:t>progress and plan next steps</w:t>
      </w:r>
      <w:r>
        <w:t xml:space="preserve">.  These meetings were held bi-weekly through December 2014 and then weekly through March 2016, as the Steering Committee responded to the new standards and requirements set forth by the ACCJC. </w:t>
      </w:r>
    </w:p>
    <w:p w14:paraId="13DA3CD8" w14:textId="44D0B2D4" w:rsidR="00720091" w:rsidRDefault="00720091" w:rsidP="006A2C33">
      <w:pPr>
        <w:pStyle w:val="Normalwithspacebetween"/>
      </w:pPr>
      <w:r>
        <w:lastRenderedPageBreak/>
        <w:t>The Committee was in the process of reviewing second drafts of the responses when the ACCJC released the revised Guide to Evaluating and Improving Institutions in July 2015 which included sample questions and examples of evidence.  This information helped reframe the College’s responses to the Accreditation Standards and the College had a single editor work with the subcommittees to respond to the prompts set forth in the ACCJC Guide.  The fourth draft responses to each standard were then vetted by the Steering Committee.</w:t>
      </w:r>
    </w:p>
    <w:p w14:paraId="13E7339F" w14:textId="77F9B05F" w:rsidR="00720091" w:rsidRDefault="00720091" w:rsidP="006A2C33">
      <w:pPr>
        <w:pStyle w:val="Normalwithspacebetween"/>
      </w:pPr>
      <w:r>
        <w:t xml:space="preserve">The Steering Committee discussions focused on several key issues that arose time and again and which were eventually identified as the two action plans that comprise the Quality Focus Essay.  The initial draft of the QFE was completed in Spring 2016 and an overview of the Action Plans were shared with the College’s Senior Staff, DPAC the Management Association, and the Board of Trustees.  </w:t>
      </w:r>
    </w:p>
    <w:p w14:paraId="26BF6863" w14:textId="3F18505B" w:rsidR="00720091" w:rsidRDefault="00720091" w:rsidP="00493ABB">
      <w:pPr>
        <w:pStyle w:val="Normalwithspacebetween"/>
      </w:pPr>
      <w:r>
        <w:t>Throughout the process, the Accreditation Steering Committee members reported progress on the Self Evaluation effort through various college committees.  Reports from the Steering Committee Co-Chairs were a standing agenda item on DPAC’s agenda and several reports were delivered to the Board of Trustees.  Status on the Accreditation Self Evaluation efforts were also reported regularly at the Management Association meetings and at Academic Senate meetings.  The ALO and Steering Committee Co-Chairs also met with the both the former and current Superintendent/Presidents and members of Senior Staff to discuss the progress of the Self Evaluation effort and the QFE.</w:t>
      </w:r>
    </w:p>
    <w:p w14:paraId="5309A994" w14:textId="47E2B6FA" w:rsidR="00720091" w:rsidRDefault="00720091" w:rsidP="00493ABB">
      <w:pPr>
        <w:pStyle w:val="Normalwithspacebetween"/>
      </w:pPr>
      <w:r>
        <w:t xml:space="preserve">To ensure that the college community was aware of and actively involved in the Accreditation process, breakout sessions, conducted by various Accreditation Self Evaluation Steering Committee members, were held during the biannual institutional “flex day” events (Institutional Opening Day in the Fall and the Institutional Flex Day in the Spring).  The Steering Committee also held a series of “Brown Bag” discussions with the college community about the drafts, which provided an opportunity for further reflection and input.  </w:t>
      </w:r>
    </w:p>
    <w:p w14:paraId="15F407E2" w14:textId="592F73B4" w:rsidR="00720091" w:rsidRDefault="00720091" w:rsidP="00493ABB">
      <w:pPr>
        <w:pStyle w:val="Normalwithspacebetween"/>
      </w:pPr>
      <w:r>
        <w:t>Communicating the findings of the Self Evaluation continue to be a top priority for the College.  The final draft of the Self Evaluation report was presented to and accepted by the Board of Trustees at the June 2016 meeting.  The Accreditation Steering Committee and the college community is now focusing on preparing for the External Evaluation Team site visit.  Accreditation will be a primary focus the Institutional Opening Day in Fall 2016.</w:t>
      </w:r>
    </w:p>
    <w:p w14:paraId="65187D36" w14:textId="330DACC2" w:rsidR="00720091" w:rsidRDefault="00720091" w:rsidP="00493ABB">
      <w:pPr>
        <w:pStyle w:val="Normalwithspacebetween"/>
      </w:pPr>
      <w:r>
        <w:t>In summary, t</w:t>
      </w:r>
      <w:r w:rsidRPr="00EE335B">
        <w:t xml:space="preserve">he report is an accurate appraisal of </w:t>
      </w:r>
      <w:r>
        <w:t>the</w:t>
      </w:r>
      <w:r w:rsidRPr="00EE335B">
        <w:t xml:space="preserve"> College, a chronicle of where </w:t>
      </w:r>
      <w:r>
        <w:t>the College has been and</w:t>
      </w:r>
      <w:r w:rsidRPr="00EE335B">
        <w:t xml:space="preserve"> a vision of where </w:t>
      </w:r>
      <w:r>
        <w:t xml:space="preserve">the College intends to </w:t>
      </w:r>
      <w:r w:rsidRPr="00EE335B">
        <w:t>go.</w:t>
      </w:r>
    </w:p>
    <w:p w14:paraId="53887910" w14:textId="2AC12F7C" w:rsidR="00720091" w:rsidRDefault="00720091" w:rsidP="00493ABB">
      <w:pPr>
        <w:pStyle w:val="Normalwithspacebetween"/>
      </w:pPr>
      <w:r>
        <w:t>The following timeline summarizes the key dates of the evaluation process.</w:t>
      </w:r>
    </w:p>
    <w:p w14:paraId="3A8F2670" w14:textId="091042D0" w:rsidR="00720091" w:rsidRDefault="00720091" w:rsidP="00514BD5">
      <w:pPr>
        <w:pStyle w:val="Heading2"/>
      </w:pPr>
      <w:r>
        <w:t xml:space="preserve">Timeline for Accreditation Self Evaluation </w:t>
      </w:r>
    </w:p>
    <w:tbl>
      <w:tblPr>
        <w:tblStyle w:val="TableGrid"/>
        <w:tblW w:w="94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7886"/>
      </w:tblGrid>
      <w:tr w:rsidR="00720091" w14:paraId="2D9D3159" w14:textId="77777777" w:rsidTr="00F4114F">
        <w:tc>
          <w:tcPr>
            <w:tcW w:w="1548" w:type="dxa"/>
          </w:tcPr>
          <w:p w14:paraId="3206A1B4" w14:textId="40AEB0EB" w:rsidR="00720091" w:rsidRPr="00F4114F" w:rsidRDefault="00720091" w:rsidP="00717078">
            <w:pPr>
              <w:contextualSpacing/>
              <w:rPr>
                <w:rFonts w:asciiTheme="majorHAnsi" w:hAnsiTheme="majorHAnsi" w:cs="Times New Roman"/>
                <w:kern w:val="28"/>
              </w:rPr>
            </w:pPr>
            <w:r w:rsidRPr="00F4114F">
              <w:rPr>
                <w:rFonts w:asciiTheme="majorHAnsi" w:hAnsiTheme="majorHAnsi" w:cs="Times New Roman"/>
                <w:kern w:val="28"/>
              </w:rPr>
              <w:t>Fall 2013</w:t>
            </w:r>
          </w:p>
        </w:tc>
        <w:tc>
          <w:tcPr>
            <w:tcW w:w="7886" w:type="dxa"/>
          </w:tcPr>
          <w:p w14:paraId="437654BA" w14:textId="2DFBCA56" w:rsidR="00720091" w:rsidRPr="00F4114F" w:rsidRDefault="00720091" w:rsidP="00F4114F">
            <w:pPr>
              <w:pStyle w:val="ListParagraph"/>
              <w:numPr>
                <w:ilvl w:val="0"/>
                <w:numId w:val="10"/>
              </w:numPr>
              <w:spacing w:line="240" w:lineRule="auto"/>
              <w:ind w:left="286" w:hanging="214"/>
              <w:rPr>
                <w:rFonts w:asciiTheme="majorHAnsi" w:eastAsiaTheme="minorHAnsi" w:hAnsiTheme="majorHAnsi"/>
                <w:szCs w:val="22"/>
              </w:rPr>
            </w:pPr>
            <w:r w:rsidRPr="00F4114F">
              <w:rPr>
                <w:rFonts w:asciiTheme="majorHAnsi" w:eastAsiaTheme="minorHAnsi" w:hAnsiTheme="majorHAnsi"/>
                <w:szCs w:val="22"/>
              </w:rPr>
              <w:t>Appointment of faculty and administration Steering Committee Co-Chairs</w:t>
            </w:r>
          </w:p>
        </w:tc>
      </w:tr>
      <w:tr w:rsidR="00720091" w14:paraId="41F2AEF6" w14:textId="77777777" w:rsidTr="00F4114F">
        <w:tc>
          <w:tcPr>
            <w:tcW w:w="1548" w:type="dxa"/>
          </w:tcPr>
          <w:p w14:paraId="501008BD" w14:textId="77777777" w:rsidR="00720091" w:rsidRPr="00F4114F" w:rsidRDefault="00720091" w:rsidP="00717078">
            <w:pPr>
              <w:contextualSpacing/>
              <w:rPr>
                <w:rFonts w:asciiTheme="majorHAnsi" w:hAnsiTheme="majorHAnsi" w:cs="Times New Roman"/>
                <w:kern w:val="28"/>
              </w:rPr>
            </w:pPr>
          </w:p>
        </w:tc>
        <w:tc>
          <w:tcPr>
            <w:tcW w:w="7886" w:type="dxa"/>
          </w:tcPr>
          <w:p w14:paraId="122C20CA" w14:textId="2F742CA3" w:rsidR="00720091" w:rsidRPr="00F4114F" w:rsidRDefault="00720091" w:rsidP="00F4114F">
            <w:pPr>
              <w:pStyle w:val="ListParagraph"/>
              <w:numPr>
                <w:ilvl w:val="0"/>
                <w:numId w:val="10"/>
              </w:numPr>
              <w:spacing w:line="240" w:lineRule="auto"/>
              <w:ind w:left="286" w:hanging="214"/>
              <w:rPr>
                <w:rFonts w:asciiTheme="majorHAnsi" w:eastAsiaTheme="minorHAnsi" w:hAnsiTheme="majorHAnsi"/>
                <w:szCs w:val="22"/>
              </w:rPr>
            </w:pPr>
            <w:r>
              <w:rPr>
                <w:rFonts w:asciiTheme="majorHAnsi" w:eastAsiaTheme="minorHAnsi" w:hAnsiTheme="majorHAnsi"/>
                <w:szCs w:val="22"/>
              </w:rPr>
              <w:t xml:space="preserve">Steering Committee members identified: </w:t>
            </w:r>
            <w:r w:rsidRPr="00F4114F">
              <w:rPr>
                <w:rFonts w:asciiTheme="majorHAnsi" w:eastAsiaTheme="minorHAnsi" w:hAnsiTheme="majorHAnsi"/>
                <w:szCs w:val="22"/>
              </w:rPr>
              <w:t>Co-chairs and subsection co-chairs; recruitment of college representatives.</w:t>
            </w:r>
          </w:p>
        </w:tc>
      </w:tr>
      <w:tr w:rsidR="00720091" w14:paraId="403C2F34" w14:textId="77777777" w:rsidTr="00F4114F">
        <w:tc>
          <w:tcPr>
            <w:tcW w:w="1548" w:type="dxa"/>
          </w:tcPr>
          <w:p w14:paraId="05456C57" w14:textId="77777777" w:rsidR="00720091" w:rsidRPr="00F4114F" w:rsidRDefault="00720091" w:rsidP="00717078">
            <w:pPr>
              <w:contextualSpacing/>
              <w:rPr>
                <w:rFonts w:asciiTheme="majorHAnsi" w:hAnsiTheme="majorHAnsi" w:cs="Times New Roman"/>
                <w:kern w:val="28"/>
              </w:rPr>
            </w:pPr>
          </w:p>
        </w:tc>
        <w:tc>
          <w:tcPr>
            <w:tcW w:w="7886" w:type="dxa"/>
          </w:tcPr>
          <w:p w14:paraId="535A09F0" w14:textId="77777777" w:rsidR="00720091" w:rsidRPr="00F4114F" w:rsidRDefault="00720091" w:rsidP="00F4114F">
            <w:pPr>
              <w:ind w:left="286" w:hanging="214"/>
              <w:rPr>
                <w:rFonts w:asciiTheme="majorHAnsi" w:hAnsiTheme="majorHAnsi"/>
              </w:rPr>
            </w:pPr>
          </w:p>
        </w:tc>
      </w:tr>
      <w:tr w:rsidR="00720091" w14:paraId="435FBD40" w14:textId="77777777" w:rsidTr="00F4114F">
        <w:tc>
          <w:tcPr>
            <w:tcW w:w="1548" w:type="dxa"/>
          </w:tcPr>
          <w:p w14:paraId="2D697175" w14:textId="7F8BC91C" w:rsidR="00720091" w:rsidRPr="00F4114F" w:rsidRDefault="00720091" w:rsidP="00717078">
            <w:pPr>
              <w:contextualSpacing/>
              <w:rPr>
                <w:rFonts w:asciiTheme="majorHAnsi" w:hAnsiTheme="majorHAnsi" w:cs="Times New Roman"/>
                <w:kern w:val="28"/>
              </w:rPr>
            </w:pPr>
            <w:r w:rsidRPr="00F4114F">
              <w:rPr>
                <w:rFonts w:asciiTheme="majorHAnsi" w:hAnsiTheme="majorHAnsi" w:cs="Times New Roman"/>
                <w:kern w:val="28"/>
              </w:rPr>
              <w:t>Spring 2014</w:t>
            </w:r>
          </w:p>
        </w:tc>
        <w:tc>
          <w:tcPr>
            <w:tcW w:w="7886" w:type="dxa"/>
          </w:tcPr>
          <w:p w14:paraId="413257D1" w14:textId="76BEBDE7" w:rsidR="00720091" w:rsidRPr="00F4114F" w:rsidRDefault="00720091" w:rsidP="00F4114F">
            <w:pPr>
              <w:pStyle w:val="ListParagraph"/>
              <w:numPr>
                <w:ilvl w:val="0"/>
                <w:numId w:val="10"/>
              </w:numPr>
              <w:spacing w:line="240" w:lineRule="auto"/>
              <w:ind w:left="286" w:hanging="214"/>
              <w:rPr>
                <w:rFonts w:asciiTheme="majorHAnsi" w:eastAsiaTheme="minorHAnsi" w:hAnsiTheme="majorHAnsi"/>
                <w:szCs w:val="22"/>
              </w:rPr>
            </w:pPr>
            <w:r w:rsidRPr="00F4114F">
              <w:rPr>
                <w:rFonts w:asciiTheme="majorHAnsi" w:eastAsiaTheme="minorHAnsi" w:hAnsiTheme="majorHAnsi"/>
                <w:szCs w:val="22"/>
              </w:rPr>
              <w:t>Members of the Accreditation Steering Committee attend the Self Evaluation workshop presented by the ACCJC at Glendale Community College (March 2014)</w:t>
            </w:r>
          </w:p>
        </w:tc>
      </w:tr>
      <w:tr w:rsidR="00720091" w14:paraId="252DF54F" w14:textId="77777777" w:rsidTr="00F4114F">
        <w:tc>
          <w:tcPr>
            <w:tcW w:w="1548" w:type="dxa"/>
          </w:tcPr>
          <w:p w14:paraId="0D32D47B" w14:textId="5A2ED040" w:rsidR="00720091" w:rsidRPr="00F4114F" w:rsidRDefault="00720091" w:rsidP="00717078">
            <w:pPr>
              <w:contextualSpacing/>
              <w:rPr>
                <w:rFonts w:asciiTheme="majorHAnsi" w:hAnsiTheme="majorHAnsi" w:cs="Times New Roman"/>
                <w:kern w:val="28"/>
              </w:rPr>
            </w:pPr>
          </w:p>
        </w:tc>
        <w:tc>
          <w:tcPr>
            <w:tcW w:w="7886" w:type="dxa"/>
          </w:tcPr>
          <w:p w14:paraId="720E2F00" w14:textId="66BED26D" w:rsidR="00720091" w:rsidRPr="00F4114F" w:rsidRDefault="00720091" w:rsidP="00F4114F">
            <w:pPr>
              <w:pStyle w:val="ListParagraph"/>
              <w:numPr>
                <w:ilvl w:val="0"/>
                <w:numId w:val="10"/>
              </w:numPr>
              <w:spacing w:line="240" w:lineRule="auto"/>
              <w:ind w:left="286" w:hanging="214"/>
              <w:rPr>
                <w:rFonts w:asciiTheme="majorHAnsi" w:eastAsiaTheme="minorHAnsi" w:hAnsiTheme="majorHAnsi"/>
                <w:szCs w:val="22"/>
              </w:rPr>
            </w:pPr>
            <w:r w:rsidRPr="00F4114F">
              <w:rPr>
                <w:rFonts w:asciiTheme="majorHAnsi" w:eastAsiaTheme="minorHAnsi" w:hAnsiTheme="majorHAnsi"/>
                <w:szCs w:val="22"/>
              </w:rPr>
              <w:t>Accreditation Steering Committee and Subcommittee Orientation (May 2014)</w:t>
            </w:r>
          </w:p>
        </w:tc>
      </w:tr>
      <w:tr w:rsidR="00720091" w14:paraId="2EFF3ADD" w14:textId="77777777" w:rsidTr="00F4114F">
        <w:tc>
          <w:tcPr>
            <w:tcW w:w="1548" w:type="dxa"/>
          </w:tcPr>
          <w:p w14:paraId="6F289729" w14:textId="24296B65" w:rsidR="00720091" w:rsidRPr="00F4114F" w:rsidRDefault="00720091" w:rsidP="00717078">
            <w:pPr>
              <w:contextualSpacing/>
              <w:rPr>
                <w:rFonts w:asciiTheme="majorHAnsi" w:hAnsiTheme="majorHAnsi" w:cs="Times New Roman"/>
                <w:kern w:val="28"/>
              </w:rPr>
            </w:pPr>
          </w:p>
        </w:tc>
        <w:tc>
          <w:tcPr>
            <w:tcW w:w="7886" w:type="dxa"/>
          </w:tcPr>
          <w:p w14:paraId="033BFA55" w14:textId="75232587" w:rsidR="00720091" w:rsidRPr="00F4114F" w:rsidRDefault="00720091" w:rsidP="00F4114F">
            <w:pPr>
              <w:pStyle w:val="ListParagraph"/>
              <w:numPr>
                <w:ilvl w:val="0"/>
                <w:numId w:val="10"/>
              </w:numPr>
              <w:spacing w:line="240" w:lineRule="auto"/>
              <w:ind w:left="286" w:hanging="214"/>
              <w:rPr>
                <w:rFonts w:asciiTheme="majorHAnsi" w:eastAsiaTheme="minorHAnsi" w:hAnsiTheme="majorHAnsi"/>
                <w:szCs w:val="22"/>
              </w:rPr>
            </w:pPr>
            <w:r w:rsidRPr="00F4114F">
              <w:rPr>
                <w:rFonts w:asciiTheme="majorHAnsi" w:eastAsiaTheme="minorHAnsi" w:hAnsiTheme="majorHAnsi"/>
                <w:szCs w:val="22"/>
              </w:rPr>
              <w:t>Monthly meetings of the Accreditation Steering Committee commence</w:t>
            </w:r>
          </w:p>
        </w:tc>
      </w:tr>
      <w:tr w:rsidR="00720091" w14:paraId="71F7159F" w14:textId="77777777" w:rsidTr="00F4114F">
        <w:tc>
          <w:tcPr>
            <w:tcW w:w="1548" w:type="dxa"/>
          </w:tcPr>
          <w:p w14:paraId="2E7FB57C" w14:textId="77777777" w:rsidR="00720091" w:rsidRPr="00F4114F" w:rsidRDefault="00720091" w:rsidP="00717078">
            <w:pPr>
              <w:contextualSpacing/>
              <w:rPr>
                <w:rFonts w:asciiTheme="majorHAnsi" w:hAnsiTheme="majorHAnsi" w:cs="Times New Roman"/>
                <w:kern w:val="28"/>
              </w:rPr>
            </w:pPr>
          </w:p>
        </w:tc>
        <w:tc>
          <w:tcPr>
            <w:tcW w:w="7886" w:type="dxa"/>
          </w:tcPr>
          <w:p w14:paraId="7462161C" w14:textId="77777777" w:rsidR="00720091" w:rsidRPr="00F4114F" w:rsidRDefault="00720091" w:rsidP="00F4114F">
            <w:pPr>
              <w:pStyle w:val="ListParagraph"/>
              <w:spacing w:line="240" w:lineRule="auto"/>
              <w:ind w:left="286" w:hanging="214"/>
              <w:rPr>
                <w:rFonts w:asciiTheme="majorHAnsi" w:eastAsiaTheme="minorHAnsi" w:hAnsiTheme="majorHAnsi"/>
                <w:color w:val="auto"/>
                <w:szCs w:val="22"/>
              </w:rPr>
            </w:pPr>
          </w:p>
        </w:tc>
      </w:tr>
      <w:tr w:rsidR="00720091" w14:paraId="74BE6C9C" w14:textId="77777777" w:rsidTr="00F4114F">
        <w:tc>
          <w:tcPr>
            <w:tcW w:w="1548" w:type="dxa"/>
          </w:tcPr>
          <w:p w14:paraId="168DBB0C" w14:textId="6CDE96A1" w:rsidR="00720091" w:rsidRPr="00F4114F" w:rsidRDefault="00720091" w:rsidP="00717078">
            <w:pPr>
              <w:contextualSpacing/>
              <w:rPr>
                <w:rFonts w:asciiTheme="majorHAnsi" w:hAnsiTheme="majorHAnsi"/>
              </w:rPr>
            </w:pPr>
            <w:r w:rsidRPr="00F4114F">
              <w:rPr>
                <w:rFonts w:asciiTheme="majorHAnsi" w:hAnsiTheme="majorHAnsi" w:cs="Times New Roman"/>
                <w:kern w:val="28"/>
              </w:rPr>
              <w:lastRenderedPageBreak/>
              <w:t>Fall 2014</w:t>
            </w:r>
          </w:p>
        </w:tc>
        <w:tc>
          <w:tcPr>
            <w:tcW w:w="7886" w:type="dxa"/>
          </w:tcPr>
          <w:p w14:paraId="564D7641" w14:textId="0FBFCA46" w:rsidR="00720091" w:rsidRPr="00F4114F" w:rsidRDefault="00720091" w:rsidP="00F4114F">
            <w:pPr>
              <w:pStyle w:val="ListParagraph"/>
              <w:numPr>
                <w:ilvl w:val="0"/>
                <w:numId w:val="10"/>
              </w:numPr>
              <w:spacing w:line="240" w:lineRule="auto"/>
              <w:ind w:left="286" w:hanging="214"/>
              <w:rPr>
                <w:rFonts w:asciiTheme="majorHAnsi" w:eastAsiaTheme="minorHAnsi" w:hAnsiTheme="majorHAnsi"/>
                <w:szCs w:val="22"/>
              </w:rPr>
            </w:pPr>
            <w:r w:rsidRPr="00F4114F">
              <w:rPr>
                <w:rFonts w:asciiTheme="majorHAnsi" w:eastAsiaTheme="minorHAnsi" w:hAnsiTheme="majorHAnsi"/>
                <w:szCs w:val="22"/>
              </w:rPr>
              <w:t>Fall Opening Day Session: “Accreditation: What is it? Why should I care?”</w:t>
            </w:r>
          </w:p>
        </w:tc>
      </w:tr>
      <w:tr w:rsidR="00720091" w14:paraId="7C1CE1D7" w14:textId="77777777" w:rsidTr="00F4114F">
        <w:tc>
          <w:tcPr>
            <w:tcW w:w="1548" w:type="dxa"/>
          </w:tcPr>
          <w:p w14:paraId="410A79CB" w14:textId="77777777" w:rsidR="00720091" w:rsidRPr="00F4114F" w:rsidRDefault="00720091" w:rsidP="00717078">
            <w:pPr>
              <w:contextualSpacing/>
              <w:rPr>
                <w:rFonts w:asciiTheme="majorHAnsi" w:hAnsiTheme="majorHAnsi"/>
              </w:rPr>
            </w:pPr>
          </w:p>
        </w:tc>
        <w:tc>
          <w:tcPr>
            <w:tcW w:w="7886" w:type="dxa"/>
          </w:tcPr>
          <w:p w14:paraId="49EF4AFE" w14:textId="6D059705" w:rsidR="00720091" w:rsidRPr="00F4114F" w:rsidRDefault="00720091" w:rsidP="00F4114F">
            <w:pPr>
              <w:pStyle w:val="ListParagraph"/>
              <w:numPr>
                <w:ilvl w:val="0"/>
                <w:numId w:val="10"/>
              </w:numPr>
              <w:spacing w:line="240" w:lineRule="auto"/>
              <w:ind w:left="286" w:hanging="214"/>
              <w:rPr>
                <w:rFonts w:asciiTheme="majorHAnsi" w:eastAsiaTheme="minorHAnsi" w:hAnsiTheme="majorHAnsi"/>
                <w:szCs w:val="22"/>
              </w:rPr>
            </w:pPr>
            <w:r>
              <w:rPr>
                <w:rFonts w:asciiTheme="majorHAnsi" w:eastAsiaTheme="minorHAnsi" w:hAnsiTheme="majorHAnsi"/>
                <w:szCs w:val="22"/>
              </w:rPr>
              <w:t>Steering Committee members p</w:t>
            </w:r>
            <w:r w:rsidRPr="00F4114F">
              <w:rPr>
                <w:rFonts w:asciiTheme="majorHAnsi" w:eastAsiaTheme="minorHAnsi" w:hAnsiTheme="majorHAnsi"/>
                <w:szCs w:val="22"/>
              </w:rPr>
              <w:t>rovide updates on Accreditation to DPAC</w:t>
            </w:r>
            <w:r>
              <w:rPr>
                <w:rFonts w:asciiTheme="majorHAnsi" w:eastAsiaTheme="minorHAnsi" w:hAnsiTheme="majorHAnsi"/>
                <w:szCs w:val="22"/>
              </w:rPr>
              <w:t xml:space="preserve"> and planning subcommittees</w:t>
            </w:r>
            <w:r w:rsidRPr="00F4114F">
              <w:rPr>
                <w:rFonts w:asciiTheme="majorHAnsi" w:eastAsiaTheme="minorHAnsi" w:hAnsiTheme="majorHAnsi"/>
                <w:szCs w:val="22"/>
              </w:rPr>
              <w:t>, Management Association, Academic Senate</w:t>
            </w:r>
            <w:r>
              <w:rPr>
                <w:rFonts w:asciiTheme="majorHAnsi" w:eastAsiaTheme="minorHAnsi" w:hAnsiTheme="majorHAnsi"/>
                <w:szCs w:val="22"/>
              </w:rPr>
              <w:t xml:space="preserve"> Committees</w:t>
            </w:r>
          </w:p>
        </w:tc>
      </w:tr>
      <w:tr w:rsidR="00720091" w14:paraId="4C57E09B" w14:textId="77777777" w:rsidTr="00F4114F">
        <w:tc>
          <w:tcPr>
            <w:tcW w:w="1548" w:type="dxa"/>
          </w:tcPr>
          <w:p w14:paraId="245D47B6" w14:textId="77777777" w:rsidR="00720091" w:rsidRPr="00F4114F" w:rsidRDefault="00720091" w:rsidP="00717078">
            <w:pPr>
              <w:contextualSpacing/>
              <w:rPr>
                <w:rFonts w:asciiTheme="majorHAnsi" w:hAnsiTheme="majorHAnsi" w:cs="Times New Roman"/>
                <w:kern w:val="28"/>
              </w:rPr>
            </w:pPr>
          </w:p>
        </w:tc>
        <w:tc>
          <w:tcPr>
            <w:tcW w:w="7886" w:type="dxa"/>
          </w:tcPr>
          <w:p w14:paraId="2994CBB6" w14:textId="77777777" w:rsidR="00720091" w:rsidRPr="00F4114F" w:rsidRDefault="00720091" w:rsidP="00F4114F">
            <w:pPr>
              <w:pStyle w:val="ListParagraph"/>
              <w:spacing w:line="240" w:lineRule="auto"/>
              <w:ind w:left="286" w:hanging="214"/>
              <w:rPr>
                <w:rFonts w:asciiTheme="majorHAnsi" w:eastAsiaTheme="minorHAnsi" w:hAnsiTheme="majorHAnsi"/>
                <w:color w:val="auto"/>
                <w:szCs w:val="22"/>
              </w:rPr>
            </w:pPr>
          </w:p>
        </w:tc>
      </w:tr>
      <w:tr w:rsidR="00720091" w14:paraId="134142F7" w14:textId="77777777" w:rsidTr="00F4114F">
        <w:tc>
          <w:tcPr>
            <w:tcW w:w="1548" w:type="dxa"/>
          </w:tcPr>
          <w:p w14:paraId="3B5D63D7" w14:textId="23172EF1" w:rsidR="00720091" w:rsidRPr="00F4114F" w:rsidRDefault="00720091" w:rsidP="00717078">
            <w:pPr>
              <w:contextualSpacing/>
              <w:rPr>
                <w:rFonts w:asciiTheme="majorHAnsi" w:hAnsiTheme="majorHAnsi" w:cs="Times New Roman"/>
                <w:kern w:val="28"/>
              </w:rPr>
            </w:pPr>
            <w:r w:rsidRPr="00F4114F">
              <w:rPr>
                <w:rFonts w:asciiTheme="majorHAnsi" w:hAnsiTheme="majorHAnsi" w:cs="Times New Roman"/>
                <w:kern w:val="28"/>
              </w:rPr>
              <w:t>Spring 2015</w:t>
            </w:r>
          </w:p>
        </w:tc>
        <w:tc>
          <w:tcPr>
            <w:tcW w:w="7886" w:type="dxa"/>
          </w:tcPr>
          <w:p w14:paraId="08CBF34B" w14:textId="22C486AD" w:rsidR="00720091" w:rsidRPr="00F4114F" w:rsidRDefault="00720091" w:rsidP="00F4114F">
            <w:pPr>
              <w:pStyle w:val="ListParagraph"/>
              <w:numPr>
                <w:ilvl w:val="0"/>
                <w:numId w:val="10"/>
              </w:numPr>
              <w:spacing w:line="240" w:lineRule="auto"/>
              <w:ind w:left="286" w:hanging="214"/>
              <w:rPr>
                <w:rFonts w:asciiTheme="majorHAnsi" w:eastAsiaTheme="minorHAnsi" w:hAnsiTheme="majorHAnsi"/>
                <w:szCs w:val="22"/>
              </w:rPr>
            </w:pPr>
            <w:r w:rsidRPr="00F4114F">
              <w:rPr>
                <w:rFonts w:asciiTheme="majorHAnsi" w:eastAsiaTheme="minorHAnsi" w:hAnsiTheme="majorHAnsi"/>
                <w:szCs w:val="22"/>
              </w:rPr>
              <w:t>ALO and Steering Committee Co-Chair attend the ACCJC Training in San Diego, CA</w:t>
            </w:r>
          </w:p>
        </w:tc>
      </w:tr>
      <w:tr w:rsidR="00720091" w14:paraId="1CDED770" w14:textId="77777777" w:rsidTr="00F4114F">
        <w:tc>
          <w:tcPr>
            <w:tcW w:w="1548" w:type="dxa"/>
          </w:tcPr>
          <w:p w14:paraId="4D73E72E" w14:textId="77777777" w:rsidR="00720091" w:rsidRPr="00F4114F" w:rsidRDefault="00720091" w:rsidP="00717078">
            <w:pPr>
              <w:contextualSpacing/>
              <w:rPr>
                <w:rFonts w:asciiTheme="majorHAnsi" w:hAnsiTheme="majorHAnsi" w:cs="Times New Roman"/>
                <w:kern w:val="28"/>
              </w:rPr>
            </w:pPr>
          </w:p>
        </w:tc>
        <w:tc>
          <w:tcPr>
            <w:tcW w:w="7886" w:type="dxa"/>
          </w:tcPr>
          <w:p w14:paraId="7278BC5B" w14:textId="6E1CB981" w:rsidR="00720091" w:rsidRPr="00F4114F" w:rsidRDefault="00720091" w:rsidP="00F4114F">
            <w:pPr>
              <w:pStyle w:val="ListParagraph"/>
              <w:numPr>
                <w:ilvl w:val="0"/>
                <w:numId w:val="10"/>
              </w:numPr>
              <w:spacing w:line="240" w:lineRule="auto"/>
              <w:ind w:left="286" w:hanging="214"/>
              <w:rPr>
                <w:rFonts w:asciiTheme="majorHAnsi" w:eastAsiaTheme="minorHAnsi" w:hAnsiTheme="majorHAnsi"/>
                <w:szCs w:val="22"/>
              </w:rPr>
            </w:pPr>
            <w:r w:rsidRPr="00F4114F">
              <w:rPr>
                <w:rFonts w:asciiTheme="majorHAnsi" w:eastAsiaTheme="minorHAnsi" w:hAnsiTheme="majorHAnsi"/>
                <w:szCs w:val="22"/>
              </w:rPr>
              <w:t>Spring Flex Day Breakout Sessions: “Accreditation: Through the Looking Glass”</w:t>
            </w:r>
          </w:p>
        </w:tc>
      </w:tr>
      <w:tr w:rsidR="00720091" w14:paraId="07BD607C" w14:textId="77777777" w:rsidTr="00F4114F">
        <w:tc>
          <w:tcPr>
            <w:tcW w:w="1548" w:type="dxa"/>
          </w:tcPr>
          <w:p w14:paraId="23DC6D16" w14:textId="77777777" w:rsidR="00720091" w:rsidRPr="00F4114F" w:rsidRDefault="00720091" w:rsidP="00717078">
            <w:pPr>
              <w:contextualSpacing/>
              <w:rPr>
                <w:rFonts w:asciiTheme="majorHAnsi" w:hAnsiTheme="majorHAnsi" w:cs="Times New Roman"/>
                <w:kern w:val="28"/>
              </w:rPr>
            </w:pPr>
          </w:p>
        </w:tc>
        <w:tc>
          <w:tcPr>
            <w:tcW w:w="7886" w:type="dxa"/>
          </w:tcPr>
          <w:p w14:paraId="5A519B3D" w14:textId="77777777" w:rsidR="00720091" w:rsidRPr="00F4114F" w:rsidRDefault="00720091" w:rsidP="00F4114F">
            <w:pPr>
              <w:pStyle w:val="ListParagraph"/>
              <w:spacing w:line="240" w:lineRule="auto"/>
              <w:ind w:left="286" w:hanging="214"/>
              <w:rPr>
                <w:rFonts w:asciiTheme="majorHAnsi" w:eastAsiaTheme="minorHAnsi" w:hAnsiTheme="majorHAnsi"/>
                <w:color w:val="auto"/>
                <w:szCs w:val="22"/>
              </w:rPr>
            </w:pPr>
          </w:p>
        </w:tc>
      </w:tr>
      <w:tr w:rsidR="00720091" w14:paraId="34BFA2A8" w14:textId="77777777" w:rsidTr="00F4114F">
        <w:tc>
          <w:tcPr>
            <w:tcW w:w="1548" w:type="dxa"/>
          </w:tcPr>
          <w:p w14:paraId="7C2E2977" w14:textId="5CCAE106" w:rsidR="00720091" w:rsidRPr="00F4114F" w:rsidRDefault="00720091" w:rsidP="00717078">
            <w:pPr>
              <w:contextualSpacing/>
              <w:rPr>
                <w:rFonts w:asciiTheme="majorHAnsi" w:hAnsiTheme="majorHAnsi" w:cs="Times New Roman"/>
                <w:kern w:val="28"/>
              </w:rPr>
            </w:pPr>
            <w:r w:rsidRPr="00F4114F">
              <w:rPr>
                <w:rFonts w:asciiTheme="majorHAnsi" w:hAnsiTheme="majorHAnsi" w:cs="Times New Roman"/>
                <w:kern w:val="28"/>
              </w:rPr>
              <w:t>Summer 2015</w:t>
            </w:r>
          </w:p>
        </w:tc>
        <w:tc>
          <w:tcPr>
            <w:tcW w:w="7886" w:type="dxa"/>
          </w:tcPr>
          <w:p w14:paraId="11F9BC76" w14:textId="22AEB0E2" w:rsidR="00720091" w:rsidRPr="00F4114F" w:rsidRDefault="00720091" w:rsidP="00F4114F">
            <w:pPr>
              <w:pStyle w:val="ListParagraph"/>
              <w:numPr>
                <w:ilvl w:val="0"/>
                <w:numId w:val="10"/>
              </w:numPr>
              <w:spacing w:line="240" w:lineRule="auto"/>
              <w:ind w:left="286" w:hanging="214"/>
              <w:rPr>
                <w:rFonts w:asciiTheme="majorHAnsi" w:eastAsiaTheme="minorHAnsi" w:hAnsiTheme="majorHAnsi"/>
                <w:szCs w:val="22"/>
              </w:rPr>
            </w:pPr>
            <w:r w:rsidRPr="00F4114F">
              <w:rPr>
                <w:rFonts w:asciiTheme="majorHAnsi" w:eastAsiaTheme="minorHAnsi" w:hAnsiTheme="majorHAnsi"/>
                <w:szCs w:val="22"/>
              </w:rPr>
              <w:t xml:space="preserve">Steering Committee </w:t>
            </w:r>
            <w:r>
              <w:rPr>
                <w:rFonts w:asciiTheme="majorHAnsi" w:eastAsiaTheme="minorHAnsi" w:hAnsiTheme="majorHAnsi"/>
                <w:szCs w:val="22"/>
              </w:rPr>
              <w:t xml:space="preserve">continues to </w:t>
            </w:r>
            <w:r w:rsidRPr="00F4114F">
              <w:rPr>
                <w:rFonts w:asciiTheme="majorHAnsi" w:eastAsiaTheme="minorHAnsi" w:hAnsiTheme="majorHAnsi"/>
                <w:szCs w:val="22"/>
              </w:rPr>
              <w:t xml:space="preserve">meet weekly to review </w:t>
            </w:r>
            <w:r>
              <w:rPr>
                <w:rFonts w:asciiTheme="majorHAnsi" w:eastAsiaTheme="minorHAnsi" w:hAnsiTheme="majorHAnsi"/>
                <w:szCs w:val="22"/>
              </w:rPr>
              <w:t>second draft versions.</w:t>
            </w:r>
          </w:p>
        </w:tc>
      </w:tr>
      <w:tr w:rsidR="00720091" w14:paraId="4CCE9FFF" w14:textId="77777777" w:rsidTr="00F4114F">
        <w:tc>
          <w:tcPr>
            <w:tcW w:w="1548" w:type="dxa"/>
          </w:tcPr>
          <w:p w14:paraId="58DC203A" w14:textId="77777777" w:rsidR="00720091" w:rsidRPr="00F4114F" w:rsidRDefault="00720091" w:rsidP="00717078">
            <w:pPr>
              <w:contextualSpacing/>
              <w:rPr>
                <w:rFonts w:asciiTheme="majorHAnsi" w:hAnsiTheme="majorHAnsi" w:cs="Times New Roman"/>
                <w:kern w:val="28"/>
              </w:rPr>
            </w:pPr>
          </w:p>
        </w:tc>
        <w:tc>
          <w:tcPr>
            <w:tcW w:w="7886" w:type="dxa"/>
          </w:tcPr>
          <w:p w14:paraId="0FCD29F0" w14:textId="7318FB9A" w:rsidR="00720091" w:rsidRPr="00F4114F" w:rsidRDefault="00720091" w:rsidP="00F4114F">
            <w:pPr>
              <w:pStyle w:val="ListParagraph"/>
              <w:numPr>
                <w:ilvl w:val="0"/>
                <w:numId w:val="10"/>
              </w:numPr>
              <w:spacing w:line="240" w:lineRule="auto"/>
              <w:ind w:left="286" w:hanging="214"/>
              <w:rPr>
                <w:rFonts w:asciiTheme="majorHAnsi" w:eastAsiaTheme="minorHAnsi" w:hAnsiTheme="majorHAnsi"/>
                <w:szCs w:val="22"/>
              </w:rPr>
            </w:pPr>
            <w:r w:rsidRPr="00F4114F">
              <w:rPr>
                <w:rFonts w:asciiTheme="majorHAnsi" w:eastAsiaTheme="minorHAnsi" w:hAnsiTheme="majorHAnsi"/>
                <w:szCs w:val="22"/>
              </w:rPr>
              <w:t>Special Steering Committee meeting to discuss the newly released Guide to Evaluating &amp; Improving Institutions</w:t>
            </w:r>
          </w:p>
        </w:tc>
      </w:tr>
      <w:tr w:rsidR="00720091" w14:paraId="6C86832A" w14:textId="77777777" w:rsidTr="00F4114F">
        <w:tc>
          <w:tcPr>
            <w:tcW w:w="1548" w:type="dxa"/>
          </w:tcPr>
          <w:p w14:paraId="44AC0661" w14:textId="77777777" w:rsidR="00720091" w:rsidRPr="00F4114F" w:rsidRDefault="00720091" w:rsidP="00717078">
            <w:pPr>
              <w:contextualSpacing/>
              <w:rPr>
                <w:rFonts w:asciiTheme="majorHAnsi" w:hAnsiTheme="majorHAnsi" w:cs="Times New Roman"/>
                <w:kern w:val="28"/>
              </w:rPr>
            </w:pPr>
          </w:p>
        </w:tc>
        <w:tc>
          <w:tcPr>
            <w:tcW w:w="7886" w:type="dxa"/>
          </w:tcPr>
          <w:p w14:paraId="167DA097" w14:textId="77777777" w:rsidR="00720091" w:rsidRPr="00F4114F" w:rsidRDefault="00720091" w:rsidP="00F4114F">
            <w:pPr>
              <w:pStyle w:val="ListParagraph"/>
              <w:spacing w:line="240" w:lineRule="auto"/>
              <w:ind w:left="286" w:hanging="214"/>
              <w:rPr>
                <w:rFonts w:asciiTheme="majorHAnsi" w:eastAsiaTheme="minorHAnsi" w:hAnsiTheme="majorHAnsi"/>
                <w:color w:val="auto"/>
                <w:szCs w:val="22"/>
              </w:rPr>
            </w:pPr>
          </w:p>
        </w:tc>
      </w:tr>
      <w:tr w:rsidR="00720091" w14:paraId="27683D37" w14:textId="77777777" w:rsidTr="00F4114F">
        <w:tc>
          <w:tcPr>
            <w:tcW w:w="1548" w:type="dxa"/>
          </w:tcPr>
          <w:p w14:paraId="6AC4F17B" w14:textId="2791FBB3" w:rsidR="00720091" w:rsidRPr="00F4114F" w:rsidRDefault="00720091" w:rsidP="00717078">
            <w:pPr>
              <w:contextualSpacing/>
              <w:rPr>
                <w:rFonts w:asciiTheme="majorHAnsi" w:hAnsiTheme="majorHAnsi" w:cs="Times New Roman"/>
                <w:kern w:val="28"/>
              </w:rPr>
            </w:pPr>
            <w:r w:rsidRPr="00F4114F">
              <w:rPr>
                <w:rFonts w:asciiTheme="majorHAnsi" w:hAnsiTheme="majorHAnsi" w:cs="Times New Roman"/>
                <w:kern w:val="28"/>
              </w:rPr>
              <w:t>Fall 2015</w:t>
            </w:r>
          </w:p>
        </w:tc>
        <w:tc>
          <w:tcPr>
            <w:tcW w:w="7886" w:type="dxa"/>
          </w:tcPr>
          <w:p w14:paraId="2070EE07" w14:textId="6E8C894A" w:rsidR="00720091" w:rsidRPr="00F4114F" w:rsidRDefault="00720091" w:rsidP="00F4114F">
            <w:pPr>
              <w:pStyle w:val="ListParagraph"/>
              <w:numPr>
                <w:ilvl w:val="0"/>
                <w:numId w:val="10"/>
              </w:numPr>
              <w:spacing w:line="240" w:lineRule="auto"/>
              <w:ind w:left="286" w:hanging="214"/>
              <w:rPr>
                <w:rFonts w:asciiTheme="majorHAnsi" w:eastAsiaTheme="minorHAnsi" w:hAnsiTheme="majorHAnsi"/>
                <w:szCs w:val="22"/>
              </w:rPr>
            </w:pPr>
            <w:r w:rsidRPr="00F4114F">
              <w:rPr>
                <w:rFonts w:asciiTheme="majorHAnsi" w:eastAsiaTheme="minorHAnsi" w:hAnsiTheme="majorHAnsi"/>
                <w:szCs w:val="22"/>
              </w:rPr>
              <w:t>Weekly meetings of the Accreditation Steering Committee continue</w:t>
            </w:r>
          </w:p>
        </w:tc>
      </w:tr>
      <w:tr w:rsidR="00720091" w14:paraId="0340BAA8" w14:textId="77777777" w:rsidTr="00F4114F">
        <w:tc>
          <w:tcPr>
            <w:tcW w:w="1548" w:type="dxa"/>
          </w:tcPr>
          <w:p w14:paraId="0427452B" w14:textId="77777777" w:rsidR="00720091" w:rsidRPr="00F4114F" w:rsidRDefault="00720091" w:rsidP="00717078">
            <w:pPr>
              <w:contextualSpacing/>
              <w:rPr>
                <w:rFonts w:asciiTheme="majorHAnsi" w:hAnsiTheme="majorHAnsi" w:cs="Times New Roman"/>
                <w:kern w:val="28"/>
              </w:rPr>
            </w:pPr>
          </w:p>
        </w:tc>
        <w:tc>
          <w:tcPr>
            <w:tcW w:w="7886" w:type="dxa"/>
          </w:tcPr>
          <w:p w14:paraId="71952F33" w14:textId="47CBB9B3" w:rsidR="00720091" w:rsidRPr="00F4114F" w:rsidRDefault="00720091" w:rsidP="00F4114F">
            <w:pPr>
              <w:pStyle w:val="ListParagraph"/>
              <w:numPr>
                <w:ilvl w:val="0"/>
                <w:numId w:val="10"/>
              </w:numPr>
              <w:spacing w:line="240" w:lineRule="auto"/>
              <w:ind w:left="286" w:hanging="214"/>
              <w:rPr>
                <w:rFonts w:asciiTheme="majorHAnsi" w:eastAsiaTheme="minorHAnsi" w:hAnsiTheme="majorHAnsi"/>
                <w:szCs w:val="22"/>
              </w:rPr>
            </w:pPr>
            <w:r w:rsidRPr="00F4114F">
              <w:rPr>
                <w:rFonts w:asciiTheme="majorHAnsi" w:eastAsiaTheme="minorHAnsi" w:hAnsiTheme="majorHAnsi"/>
                <w:szCs w:val="22"/>
              </w:rPr>
              <w:t>Institutional Opening Day Breakout Session: “Accreditation: Turning Data into Action”</w:t>
            </w:r>
          </w:p>
        </w:tc>
      </w:tr>
      <w:tr w:rsidR="00720091" w14:paraId="1D2089EC" w14:textId="77777777" w:rsidTr="00F4114F">
        <w:tc>
          <w:tcPr>
            <w:tcW w:w="1548" w:type="dxa"/>
          </w:tcPr>
          <w:p w14:paraId="0378397C" w14:textId="77777777" w:rsidR="00720091" w:rsidRPr="00F4114F" w:rsidRDefault="00720091" w:rsidP="00717078">
            <w:pPr>
              <w:contextualSpacing/>
              <w:rPr>
                <w:rFonts w:asciiTheme="majorHAnsi" w:hAnsiTheme="majorHAnsi" w:cs="Times New Roman"/>
                <w:kern w:val="28"/>
              </w:rPr>
            </w:pPr>
          </w:p>
        </w:tc>
        <w:tc>
          <w:tcPr>
            <w:tcW w:w="7886" w:type="dxa"/>
          </w:tcPr>
          <w:p w14:paraId="364200AC" w14:textId="6B8DCB56" w:rsidR="00720091" w:rsidRPr="00F4114F" w:rsidRDefault="00720091" w:rsidP="00F4114F">
            <w:pPr>
              <w:pStyle w:val="ListParagraph"/>
              <w:numPr>
                <w:ilvl w:val="0"/>
                <w:numId w:val="10"/>
              </w:numPr>
              <w:spacing w:line="240" w:lineRule="auto"/>
              <w:ind w:left="286" w:hanging="214"/>
              <w:rPr>
                <w:rFonts w:asciiTheme="majorHAnsi" w:eastAsiaTheme="minorHAnsi" w:hAnsiTheme="majorHAnsi"/>
                <w:szCs w:val="22"/>
              </w:rPr>
            </w:pPr>
            <w:r w:rsidRPr="00F4114F">
              <w:rPr>
                <w:rFonts w:asciiTheme="majorHAnsi" w:eastAsiaTheme="minorHAnsi" w:hAnsiTheme="majorHAnsi"/>
                <w:szCs w:val="22"/>
              </w:rPr>
              <w:t xml:space="preserve">Conduct Brown Bag Sessions on </w:t>
            </w:r>
            <w:r>
              <w:rPr>
                <w:rFonts w:asciiTheme="majorHAnsi" w:eastAsiaTheme="minorHAnsi" w:hAnsiTheme="majorHAnsi"/>
                <w:szCs w:val="22"/>
              </w:rPr>
              <w:t>Standards I</w:t>
            </w:r>
          </w:p>
        </w:tc>
      </w:tr>
      <w:tr w:rsidR="00720091" w14:paraId="464730D2" w14:textId="77777777" w:rsidTr="00F4114F">
        <w:tc>
          <w:tcPr>
            <w:tcW w:w="1548" w:type="dxa"/>
          </w:tcPr>
          <w:p w14:paraId="13588899" w14:textId="77777777" w:rsidR="00720091" w:rsidRPr="00F4114F" w:rsidRDefault="00720091" w:rsidP="00717078">
            <w:pPr>
              <w:contextualSpacing/>
              <w:rPr>
                <w:rFonts w:asciiTheme="majorHAnsi" w:hAnsiTheme="majorHAnsi" w:cs="Times New Roman"/>
                <w:kern w:val="28"/>
              </w:rPr>
            </w:pPr>
          </w:p>
        </w:tc>
        <w:tc>
          <w:tcPr>
            <w:tcW w:w="7886" w:type="dxa"/>
          </w:tcPr>
          <w:p w14:paraId="467D0C21" w14:textId="77777777" w:rsidR="00720091" w:rsidRPr="00F4114F" w:rsidRDefault="00720091" w:rsidP="00F4114F">
            <w:pPr>
              <w:pStyle w:val="ListParagraph"/>
              <w:spacing w:line="240" w:lineRule="auto"/>
              <w:ind w:left="286" w:hanging="214"/>
              <w:rPr>
                <w:rFonts w:asciiTheme="majorHAnsi" w:eastAsiaTheme="minorHAnsi" w:hAnsiTheme="majorHAnsi"/>
                <w:color w:val="auto"/>
                <w:szCs w:val="22"/>
              </w:rPr>
            </w:pPr>
          </w:p>
        </w:tc>
      </w:tr>
      <w:tr w:rsidR="00720091" w14:paraId="0482E10C" w14:textId="77777777" w:rsidTr="00F4114F">
        <w:tc>
          <w:tcPr>
            <w:tcW w:w="1548" w:type="dxa"/>
          </w:tcPr>
          <w:p w14:paraId="1C303B13" w14:textId="31B2B444" w:rsidR="00720091" w:rsidRPr="00F4114F" w:rsidRDefault="00720091" w:rsidP="00717078">
            <w:pPr>
              <w:contextualSpacing/>
              <w:rPr>
                <w:rFonts w:asciiTheme="majorHAnsi" w:hAnsiTheme="majorHAnsi" w:cs="Times New Roman"/>
                <w:kern w:val="28"/>
              </w:rPr>
            </w:pPr>
            <w:r w:rsidRPr="00F4114F">
              <w:rPr>
                <w:rFonts w:asciiTheme="majorHAnsi" w:hAnsiTheme="majorHAnsi" w:cs="Times New Roman"/>
                <w:kern w:val="28"/>
              </w:rPr>
              <w:t>Spring 2016</w:t>
            </w:r>
          </w:p>
        </w:tc>
        <w:tc>
          <w:tcPr>
            <w:tcW w:w="7886" w:type="dxa"/>
          </w:tcPr>
          <w:p w14:paraId="0157130F" w14:textId="170A24A7" w:rsidR="00720091" w:rsidRPr="00F4114F" w:rsidRDefault="00720091" w:rsidP="00F4114F">
            <w:pPr>
              <w:pStyle w:val="ListParagraph"/>
              <w:numPr>
                <w:ilvl w:val="0"/>
                <w:numId w:val="10"/>
              </w:numPr>
              <w:spacing w:line="240" w:lineRule="auto"/>
              <w:ind w:left="286" w:hanging="214"/>
              <w:rPr>
                <w:rFonts w:asciiTheme="majorHAnsi" w:eastAsiaTheme="minorHAnsi" w:hAnsiTheme="majorHAnsi"/>
                <w:szCs w:val="22"/>
              </w:rPr>
            </w:pPr>
            <w:r w:rsidRPr="00F4114F">
              <w:rPr>
                <w:rFonts w:asciiTheme="majorHAnsi" w:eastAsiaTheme="minorHAnsi" w:hAnsiTheme="majorHAnsi"/>
                <w:szCs w:val="22"/>
              </w:rPr>
              <w:t>Steering Committee meets weekly to review 3</w:t>
            </w:r>
            <w:r w:rsidRPr="00F4114F">
              <w:rPr>
                <w:rFonts w:asciiTheme="majorHAnsi" w:eastAsiaTheme="minorHAnsi" w:hAnsiTheme="majorHAnsi"/>
                <w:szCs w:val="22"/>
                <w:vertAlign w:val="superscript"/>
              </w:rPr>
              <w:t>rd</w:t>
            </w:r>
            <w:r w:rsidRPr="00F4114F">
              <w:rPr>
                <w:rFonts w:asciiTheme="majorHAnsi" w:eastAsiaTheme="minorHAnsi" w:hAnsiTheme="majorHAnsi"/>
                <w:szCs w:val="22"/>
              </w:rPr>
              <w:t xml:space="preserve"> drafts of standards</w:t>
            </w:r>
          </w:p>
        </w:tc>
      </w:tr>
      <w:tr w:rsidR="00720091" w14:paraId="7B42BC0C" w14:textId="77777777" w:rsidTr="00F4114F">
        <w:tc>
          <w:tcPr>
            <w:tcW w:w="1548" w:type="dxa"/>
          </w:tcPr>
          <w:p w14:paraId="176A7C8C" w14:textId="77777777" w:rsidR="00720091" w:rsidRPr="00F4114F" w:rsidRDefault="00720091" w:rsidP="00717078">
            <w:pPr>
              <w:contextualSpacing/>
              <w:rPr>
                <w:rFonts w:asciiTheme="majorHAnsi" w:hAnsiTheme="majorHAnsi" w:cs="Times New Roman"/>
                <w:kern w:val="28"/>
              </w:rPr>
            </w:pPr>
          </w:p>
        </w:tc>
        <w:tc>
          <w:tcPr>
            <w:tcW w:w="7886" w:type="dxa"/>
          </w:tcPr>
          <w:p w14:paraId="6B38C0A0" w14:textId="4C3F1732" w:rsidR="00720091" w:rsidRPr="00F4114F" w:rsidRDefault="00720091" w:rsidP="00F4114F">
            <w:pPr>
              <w:pStyle w:val="ListParagraph"/>
              <w:numPr>
                <w:ilvl w:val="0"/>
                <w:numId w:val="10"/>
              </w:numPr>
              <w:spacing w:line="240" w:lineRule="auto"/>
              <w:ind w:left="286" w:hanging="214"/>
              <w:rPr>
                <w:rFonts w:asciiTheme="majorHAnsi" w:eastAsiaTheme="minorHAnsi" w:hAnsiTheme="majorHAnsi"/>
                <w:szCs w:val="22"/>
              </w:rPr>
            </w:pPr>
            <w:r w:rsidRPr="00F4114F">
              <w:rPr>
                <w:rFonts w:asciiTheme="majorHAnsi" w:eastAsiaTheme="minorHAnsi" w:hAnsiTheme="majorHAnsi"/>
                <w:szCs w:val="22"/>
              </w:rPr>
              <w:t>Conduct Brown Bag Sessions on Standards II, III, and IV</w:t>
            </w:r>
          </w:p>
        </w:tc>
      </w:tr>
      <w:tr w:rsidR="00720091" w14:paraId="09F2B3CA" w14:textId="77777777" w:rsidTr="00F4114F">
        <w:tc>
          <w:tcPr>
            <w:tcW w:w="1548" w:type="dxa"/>
          </w:tcPr>
          <w:p w14:paraId="1C5E76A3" w14:textId="77777777" w:rsidR="00720091" w:rsidRPr="00F4114F" w:rsidRDefault="00720091" w:rsidP="00717078">
            <w:pPr>
              <w:contextualSpacing/>
              <w:rPr>
                <w:rFonts w:asciiTheme="majorHAnsi" w:hAnsiTheme="majorHAnsi" w:cs="Times New Roman"/>
                <w:kern w:val="28"/>
              </w:rPr>
            </w:pPr>
          </w:p>
        </w:tc>
        <w:tc>
          <w:tcPr>
            <w:tcW w:w="7886" w:type="dxa"/>
          </w:tcPr>
          <w:p w14:paraId="6EFA0DDC" w14:textId="14E68A39" w:rsidR="00720091" w:rsidRPr="00F4114F" w:rsidRDefault="00720091" w:rsidP="00F4114F">
            <w:pPr>
              <w:pStyle w:val="ListParagraph"/>
              <w:numPr>
                <w:ilvl w:val="0"/>
                <w:numId w:val="10"/>
              </w:numPr>
              <w:spacing w:line="240" w:lineRule="auto"/>
              <w:ind w:left="286" w:hanging="214"/>
              <w:rPr>
                <w:rFonts w:asciiTheme="majorHAnsi" w:eastAsiaTheme="minorHAnsi" w:hAnsiTheme="majorHAnsi"/>
                <w:szCs w:val="22"/>
              </w:rPr>
            </w:pPr>
            <w:r w:rsidRPr="00F4114F">
              <w:rPr>
                <w:rFonts w:asciiTheme="majorHAnsi" w:eastAsiaTheme="minorHAnsi" w:hAnsiTheme="majorHAnsi"/>
                <w:szCs w:val="22"/>
              </w:rPr>
              <w:t xml:space="preserve">Spring Flex Day </w:t>
            </w:r>
            <w:r>
              <w:rPr>
                <w:rFonts w:asciiTheme="majorHAnsi" w:eastAsiaTheme="minorHAnsi" w:hAnsiTheme="majorHAnsi"/>
                <w:szCs w:val="22"/>
              </w:rPr>
              <w:t>Session</w:t>
            </w:r>
            <w:r w:rsidRPr="00F4114F">
              <w:rPr>
                <w:rFonts w:asciiTheme="majorHAnsi" w:eastAsiaTheme="minorHAnsi" w:hAnsiTheme="majorHAnsi"/>
                <w:szCs w:val="22"/>
              </w:rPr>
              <w:t xml:space="preserve">: “SMC’s Self Evaluation: Fun Facts, Lessons Learned, Pertinent Plans” </w:t>
            </w:r>
          </w:p>
        </w:tc>
      </w:tr>
      <w:tr w:rsidR="00720091" w14:paraId="7CCE4D0D" w14:textId="77777777" w:rsidTr="00F4114F">
        <w:tc>
          <w:tcPr>
            <w:tcW w:w="1548" w:type="dxa"/>
          </w:tcPr>
          <w:p w14:paraId="6B7F4C5B" w14:textId="77777777" w:rsidR="00720091" w:rsidRPr="00F4114F" w:rsidRDefault="00720091" w:rsidP="00717078">
            <w:pPr>
              <w:contextualSpacing/>
              <w:rPr>
                <w:rFonts w:asciiTheme="majorHAnsi" w:hAnsiTheme="majorHAnsi" w:cs="Times New Roman"/>
                <w:kern w:val="28"/>
              </w:rPr>
            </w:pPr>
          </w:p>
        </w:tc>
        <w:tc>
          <w:tcPr>
            <w:tcW w:w="7886" w:type="dxa"/>
          </w:tcPr>
          <w:p w14:paraId="0DA1372C" w14:textId="2EA56BE0" w:rsidR="00720091" w:rsidRPr="00F4114F" w:rsidRDefault="00720091" w:rsidP="00F4114F">
            <w:pPr>
              <w:pStyle w:val="ListParagraph"/>
              <w:numPr>
                <w:ilvl w:val="0"/>
                <w:numId w:val="10"/>
              </w:numPr>
              <w:spacing w:line="240" w:lineRule="auto"/>
              <w:ind w:left="286" w:hanging="214"/>
              <w:rPr>
                <w:rFonts w:asciiTheme="majorHAnsi" w:eastAsiaTheme="minorHAnsi" w:hAnsiTheme="majorHAnsi"/>
                <w:szCs w:val="22"/>
              </w:rPr>
            </w:pPr>
            <w:r>
              <w:rPr>
                <w:rFonts w:asciiTheme="majorHAnsi" w:eastAsiaTheme="minorHAnsi" w:hAnsiTheme="majorHAnsi"/>
                <w:szCs w:val="22"/>
              </w:rPr>
              <w:t xml:space="preserve">Steering Committee Co-Chairs present </w:t>
            </w:r>
            <w:r w:rsidRPr="00F4114F">
              <w:rPr>
                <w:rFonts w:asciiTheme="majorHAnsi" w:eastAsiaTheme="minorHAnsi" w:hAnsiTheme="majorHAnsi"/>
                <w:szCs w:val="22"/>
              </w:rPr>
              <w:t>Board Report (April 2016)</w:t>
            </w:r>
          </w:p>
        </w:tc>
      </w:tr>
      <w:tr w:rsidR="00720091" w14:paraId="64FCFA02" w14:textId="77777777" w:rsidTr="00F4114F">
        <w:tc>
          <w:tcPr>
            <w:tcW w:w="1548" w:type="dxa"/>
          </w:tcPr>
          <w:p w14:paraId="7A2A6F42" w14:textId="77777777" w:rsidR="00720091" w:rsidRPr="00F4114F" w:rsidRDefault="00720091" w:rsidP="00717078">
            <w:pPr>
              <w:contextualSpacing/>
              <w:rPr>
                <w:rFonts w:asciiTheme="majorHAnsi" w:hAnsiTheme="majorHAnsi" w:cs="Times New Roman"/>
                <w:kern w:val="28"/>
              </w:rPr>
            </w:pPr>
          </w:p>
        </w:tc>
        <w:tc>
          <w:tcPr>
            <w:tcW w:w="7886" w:type="dxa"/>
          </w:tcPr>
          <w:p w14:paraId="48FB1FBA" w14:textId="3F5BF855" w:rsidR="00720091" w:rsidRPr="00F4114F" w:rsidRDefault="00720091" w:rsidP="00F4114F">
            <w:pPr>
              <w:pStyle w:val="ListParagraph"/>
              <w:numPr>
                <w:ilvl w:val="0"/>
                <w:numId w:val="10"/>
              </w:numPr>
              <w:spacing w:line="240" w:lineRule="auto"/>
              <w:ind w:left="286" w:hanging="214"/>
              <w:rPr>
                <w:rFonts w:asciiTheme="majorHAnsi" w:eastAsiaTheme="minorHAnsi" w:hAnsiTheme="majorHAnsi"/>
                <w:szCs w:val="22"/>
              </w:rPr>
            </w:pPr>
            <w:r w:rsidRPr="00F4114F">
              <w:rPr>
                <w:rFonts w:asciiTheme="majorHAnsi" w:eastAsiaTheme="minorHAnsi" w:hAnsiTheme="majorHAnsi"/>
                <w:szCs w:val="22"/>
              </w:rPr>
              <w:t>Board Acceptance of the Self-Evaluation Report (June 2016)</w:t>
            </w:r>
          </w:p>
        </w:tc>
      </w:tr>
      <w:tr w:rsidR="00720091" w14:paraId="50846135" w14:textId="77777777" w:rsidTr="00F4114F">
        <w:tc>
          <w:tcPr>
            <w:tcW w:w="1548" w:type="dxa"/>
          </w:tcPr>
          <w:p w14:paraId="01512B2B" w14:textId="77777777" w:rsidR="00720091" w:rsidRPr="00F4114F" w:rsidRDefault="00720091" w:rsidP="00717078">
            <w:pPr>
              <w:contextualSpacing/>
              <w:rPr>
                <w:rFonts w:asciiTheme="majorHAnsi" w:hAnsiTheme="majorHAnsi" w:cs="Times New Roman"/>
                <w:kern w:val="28"/>
              </w:rPr>
            </w:pPr>
          </w:p>
        </w:tc>
        <w:tc>
          <w:tcPr>
            <w:tcW w:w="7886" w:type="dxa"/>
          </w:tcPr>
          <w:p w14:paraId="21F1B39D" w14:textId="77777777" w:rsidR="00720091" w:rsidRPr="00F4114F" w:rsidRDefault="00720091" w:rsidP="00F4114F">
            <w:pPr>
              <w:pStyle w:val="ListParagraph"/>
              <w:spacing w:line="240" w:lineRule="auto"/>
              <w:ind w:left="286" w:hanging="214"/>
              <w:rPr>
                <w:rFonts w:asciiTheme="majorHAnsi" w:eastAsiaTheme="minorHAnsi" w:hAnsiTheme="majorHAnsi"/>
                <w:color w:val="auto"/>
                <w:szCs w:val="22"/>
              </w:rPr>
            </w:pPr>
          </w:p>
        </w:tc>
      </w:tr>
      <w:tr w:rsidR="00720091" w14:paraId="0B38CF90" w14:textId="77777777" w:rsidTr="00F4114F">
        <w:tc>
          <w:tcPr>
            <w:tcW w:w="1548" w:type="dxa"/>
          </w:tcPr>
          <w:p w14:paraId="30A26B39" w14:textId="3E76CA7A" w:rsidR="00720091" w:rsidRPr="00F4114F" w:rsidRDefault="00720091" w:rsidP="00717078">
            <w:pPr>
              <w:contextualSpacing/>
              <w:rPr>
                <w:rFonts w:asciiTheme="majorHAnsi" w:hAnsiTheme="majorHAnsi" w:cs="Times New Roman"/>
                <w:kern w:val="28"/>
              </w:rPr>
            </w:pPr>
            <w:r w:rsidRPr="00F4114F">
              <w:rPr>
                <w:rFonts w:asciiTheme="majorHAnsi" w:hAnsiTheme="majorHAnsi" w:cs="Times New Roman"/>
                <w:kern w:val="28"/>
              </w:rPr>
              <w:t>Summer 2016</w:t>
            </w:r>
          </w:p>
        </w:tc>
        <w:tc>
          <w:tcPr>
            <w:tcW w:w="7886" w:type="dxa"/>
          </w:tcPr>
          <w:p w14:paraId="61F83C93" w14:textId="4C0165C2" w:rsidR="00720091" w:rsidRPr="00F4114F" w:rsidRDefault="00720091" w:rsidP="00F4114F">
            <w:pPr>
              <w:pStyle w:val="ListParagraph"/>
              <w:numPr>
                <w:ilvl w:val="0"/>
                <w:numId w:val="10"/>
              </w:numPr>
              <w:spacing w:line="240" w:lineRule="auto"/>
              <w:ind w:left="286" w:hanging="214"/>
              <w:rPr>
                <w:rFonts w:asciiTheme="majorHAnsi" w:eastAsiaTheme="minorHAnsi" w:hAnsiTheme="majorHAnsi"/>
                <w:szCs w:val="22"/>
              </w:rPr>
            </w:pPr>
            <w:r w:rsidRPr="00F4114F">
              <w:rPr>
                <w:rFonts w:asciiTheme="majorHAnsi" w:eastAsiaTheme="minorHAnsi" w:hAnsiTheme="majorHAnsi"/>
                <w:szCs w:val="22"/>
              </w:rPr>
              <w:t>Certification of Self Evaluation Report by College Superintendent/President, Board of Trustees Chair, Academic Senate President, Associated Student President, ALO</w:t>
            </w:r>
          </w:p>
        </w:tc>
      </w:tr>
      <w:tr w:rsidR="00720091" w14:paraId="3EA1417F" w14:textId="77777777" w:rsidTr="00F4114F">
        <w:tc>
          <w:tcPr>
            <w:tcW w:w="1548" w:type="dxa"/>
          </w:tcPr>
          <w:p w14:paraId="5B7806C8" w14:textId="77777777" w:rsidR="00720091" w:rsidRPr="00F4114F" w:rsidRDefault="00720091" w:rsidP="00717078">
            <w:pPr>
              <w:contextualSpacing/>
              <w:rPr>
                <w:rFonts w:asciiTheme="majorHAnsi" w:hAnsiTheme="majorHAnsi" w:cs="Times New Roman"/>
                <w:kern w:val="28"/>
              </w:rPr>
            </w:pPr>
          </w:p>
        </w:tc>
        <w:tc>
          <w:tcPr>
            <w:tcW w:w="7886" w:type="dxa"/>
          </w:tcPr>
          <w:p w14:paraId="26A90E95" w14:textId="793EA826" w:rsidR="00720091" w:rsidRPr="00F4114F" w:rsidRDefault="00720091" w:rsidP="00F4114F">
            <w:pPr>
              <w:pStyle w:val="ListParagraph"/>
              <w:numPr>
                <w:ilvl w:val="0"/>
                <w:numId w:val="10"/>
              </w:numPr>
              <w:spacing w:line="240" w:lineRule="auto"/>
              <w:ind w:left="286" w:hanging="214"/>
              <w:rPr>
                <w:rFonts w:asciiTheme="majorHAnsi" w:eastAsiaTheme="minorHAnsi" w:hAnsiTheme="majorHAnsi"/>
                <w:szCs w:val="22"/>
              </w:rPr>
            </w:pPr>
            <w:r w:rsidRPr="00F4114F">
              <w:rPr>
                <w:rFonts w:asciiTheme="majorHAnsi" w:eastAsiaTheme="minorHAnsi" w:hAnsiTheme="majorHAnsi"/>
                <w:szCs w:val="22"/>
              </w:rPr>
              <w:t xml:space="preserve">Organize evidence, establish electronic links </w:t>
            </w:r>
          </w:p>
        </w:tc>
      </w:tr>
      <w:tr w:rsidR="00720091" w14:paraId="085E4E2B" w14:textId="77777777" w:rsidTr="00F4114F">
        <w:tc>
          <w:tcPr>
            <w:tcW w:w="1548" w:type="dxa"/>
          </w:tcPr>
          <w:p w14:paraId="652592A0" w14:textId="77777777" w:rsidR="00720091" w:rsidRPr="00F4114F" w:rsidRDefault="00720091" w:rsidP="00717078">
            <w:pPr>
              <w:contextualSpacing/>
              <w:rPr>
                <w:rFonts w:asciiTheme="majorHAnsi" w:hAnsiTheme="majorHAnsi" w:cs="Times New Roman"/>
                <w:kern w:val="28"/>
              </w:rPr>
            </w:pPr>
          </w:p>
        </w:tc>
        <w:tc>
          <w:tcPr>
            <w:tcW w:w="7886" w:type="dxa"/>
          </w:tcPr>
          <w:p w14:paraId="6D76F9E9" w14:textId="0AD3ED21" w:rsidR="00720091" w:rsidRPr="00F4114F" w:rsidRDefault="00720091" w:rsidP="00F4114F">
            <w:pPr>
              <w:pStyle w:val="ListParagraph"/>
              <w:numPr>
                <w:ilvl w:val="0"/>
                <w:numId w:val="10"/>
              </w:numPr>
              <w:spacing w:line="240" w:lineRule="auto"/>
              <w:ind w:left="286" w:hanging="214"/>
              <w:rPr>
                <w:rFonts w:asciiTheme="majorHAnsi" w:eastAsiaTheme="minorHAnsi" w:hAnsiTheme="majorHAnsi"/>
                <w:szCs w:val="22"/>
              </w:rPr>
            </w:pPr>
            <w:r w:rsidRPr="00F4114F">
              <w:rPr>
                <w:rFonts w:asciiTheme="majorHAnsi" w:eastAsiaTheme="minorHAnsi" w:hAnsiTheme="majorHAnsi"/>
                <w:szCs w:val="22"/>
              </w:rPr>
              <w:t>Submit Santa Monica College Self Evaluation Report to ACCJC</w:t>
            </w:r>
          </w:p>
        </w:tc>
      </w:tr>
      <w:tr w:rsidR="00720091" w14:paraId="71F73658" w14:textId="77777777" w:rsidTr="00F4114F">
        <w:tc>
          <w:tcPr>
            <w:tcW w:w="1548" w:type="dxa"/>
          </w:tcPr>
          <w:p w14:paraId="4AAE1CE0" w14:textId="77777777" w:rsidR="00720091" w:rsidRPr="00F4114F" w:rsidRDefault="00720091" w:rsidP="00717078">
            <w:pPr>
              <w:contextualSpacing/>
              <w:rPr>
                <w:rFonts w:asciiTheme="majorHAnsi" w:hAnsiTheme="majorHAnsi" w:cs="Times New Roman"/>
                <w:kern w:val="28"/>
              </w:rPr>
            </w:pPr>
          </w:p>
        </w:tc>
        <w:tc>
          <w:tcPr>
            <w:tcW w:w="7886" w:type="dxa"/>
          </w:tcPr>
          <w:p w14:paraId="1496A2FB" w14:textId="1E0A796B" w:rsidR="00720091" w:rsidRPr="00F4114F" w:rsidRDefault="00720091" w:rsidP="00F4114F">
            <w:pPr>
              <w:pStyle w:val="ListParagraph"/>
              <w:numPr>
                <w:ilvl w:val="0"/>
                <w:numId w:val="10"/>
              </w:numPr>
              <w:spacing w:line="240" w:lineRule="auto"/>
              <w:ind w:left="286" w:hanging="214"/>
              <w:rPr>
                <w:rFonts w:asciiTheme="majorHAnsi" w:eastAsiaTheme="minorHAnsi" w:hAnsiTheme="majorHAnsi"/>
                <w:szCs w:val="22"/>
              </w:rPr>
            </w:pPr>
            <w:r w:rsidRPr="00F4114F">
              <w:rPr>
                <w:rFonts w:asciiTheme="majorHAnsi" w:eastAsiaTheme="minorHAnsi" w:hAnsiTheme="majorHAnsi"/>
                <w:szCs w:val="22"/>
              </w:rPr>
              <w:t>Disseminate Self Evaluation Report via the Web</w:t>
            </w:r>
          </w:p>
        </w:tc>
      </w:tr>
      <w:tr w:rsidR="00720091" w14:paraId="3AD260CC" w14:textId="77777777" w:rsidTr="00F4114F">
        <w:tc>
          <w:tcPr>
            <w:tcW w:w="1548" w:type="dxa"/>
          </w:tcPr>
          <w:p w14:paraId="354EBA8C" w14:textId="77777777" w:rsidR="00720091" w:rsidRPr="00F4114F" w:rsidRDefault="00720091" w:rsidP="00717078">
            <w:pPr>
              <w:contextualSpacing/>
              <w:rPr>
                <w:rFonts w:asciiTheme="majorHAnsi" w:hAnsiTheme="majorHAnsi" w:cs="Times New Roman"/>
                <w:kern w:val="28"/>
              </w:rPr>
            </w:pPr>
          </w:p>
        </w:tc>
        <w:tc>
          <w:tcPr>
            <w:tcW w:w="7886" w:type="dxa"/>
          </w:tcPr>
          <w:p w14:paraId="28575E88" w14:textId="5F65789D" w:rsidR="00720091" w:rsidRPr="00F4114F" w:rsidRDefault="00720091" w:rsidP="00F4114F">
            <w:pPr>
              <w:pStyle w:val="ListParagraph"/>
              <w:numPr>
                <w:ilvl w:val="0"/>
                <w:numId w:val="10"/>
              </w:numPr>
              <w:spacing w:line="240" w:lineRule="auto"/>
              <w:ind w:left="286" w:hanging="214"/>
              <w:rPr>
                <w:rFonts w:asciiTheme="majorHAnsi" w:eastAsiaTheme="minorHAnsi" w:hAnsiTheme="majorHAnsi"/>
                <w:szCs w:val="22"/>
              </w:rPr>
            </w:pPr>
            <w:r w:rsidRPr="00F4114F">
              <w:rPr>
                <w:rFonts w:asciiTheme="majorHAnsi" w:eastAsiaTheme="minorHAnsi" w:hAnsiTheme="majorHAnsi"/>
                <w:szCs w:val="22"/>
              </w:rPr>
              <w:t>Mock visit interviews with interested staff</w:t>
            </w:r>
          </w:p>
        </w:tc>
      </w:tr>
      <w:tr w:rsidR="00720091" w14:paraId="6F49F545" w14:textId="77777777" w:rsidTr="00F4114F">
        <w:tc>
          <w:tcPr>
            <w:tcW w:w="1548" w:type="dxa"/>
          </w:tcPr>
          <w:p w14:paraId="4126B846" w14:textId="77777777" w:rsidR="00720091" w:rsidRPr="00F4114F" w:rsidRDefault="00720091" w:rsidP="00717078">
            <w:pPr>
              <w:contextualSpacing/>
              <w:rPr>
                <w:rFonts w:asciiTheme="majorHAnsi" w:hAnsiTheme="majorHAnsi" w:cs="Times New Roman"/>
                <w:kern w:val="28"/>
              </w:rPr>
            </w:pPr>
          </w:p>
        </w:tc>
        <w:tc>
          <w:tcPr>
            <w:tcW w:w="7886" w:type="dxa"/>
          </w:tcPr>
          <w:p w14:paraId="05783305" w14:textId="77777777" w:rsidR="00720091" w:rsidRPr="00F4114F" w:rsidRDefault="00720091" w:rsidP="00F4114F">
            <w:pPr>
              <w:pStyle w:val="ListParagraph"/>
              <w:spacing w:line="240" w:lineRule="auto"/>
              <w:ind w:left="286" w:hanging="214"/>
              <w:rPr>
                <w:rFonts w:asciiTheme="majorHAnsi" w:eastAsiaTheme="minorHAnsi" w:hAnsiTheme="majorHAnsi"/>
                <w:color w:val="auto"/>
                <w:szCs w:val="22"/>
              </w:rPr>
            </w:pPr>
          </w:p>
        </w:tc>
      </w:tr>
      <w:tr w:rsidR="00720091" w14:paraId="769D0634" w14:textId="77777777" w:rsidTr="00F4114F">
        <w:tc>
          <w:tcPr>
            <w:tcW w:w="1548" w:type="dxa"/>
          </w:tcPr>
          <w:p w14:paraId="4104995A" w14:textId="2FB298EF" w:rsidR="00720091" w:rsidRPr="00F4114F" w:rsidRDefault="00720091" w:rsidP="00717078">
            <w:pPr>
              <w:contextualSpacing/>
              <w:rPr>
                <w:rFonts w:asciiTheme="majorHAnsi" w:hAnsiTheme="majorHAnsi" w:cs="Times New Roman"/>
                <w:kern w:val="28"/>
              </w:rPr>
            </w:pPr>
            <w:r w:rsidRPr="00F4114F">
              <w:rPr>
                <w:rFonts w:asciiTheme="majorHAnsi" w:hAnsiTheme="majorHAnsi" w:cs="Times New Roman"/>
                <w:kern w:val="28"/>
              </w:rPr>
              <w:t>Fall 2016</w:t>
            </w:r>
          </w:p>
        </w:tc>
        <w:tc>
          <w:tcPr>
            <w:tcW w:w="7886" w:type="dxa"/>
          </w:tcPr>
          <w:p w14:paraId="687BF619" w14:textId="10942C23" w:rsidR="00720091" w:rsidRPr="00F4114F" w:rsidRDefault="00720091" w:rsidP="00F4114F">
            <w:pPr>
              <w:pStyle w:val="ListParagraph"/>
              <w:numPr>
                <w:ilvl w:val="0"/>
                <w:numId w:val="10"/>
              </w:numPr>
              <w:spacing w:line="240" w:lineRule="auto"/>
              <w:ind w:left="286" w:hanging="214"/>
              <w:rPr>
                <w:rFonts w:asciiTheme="majorHAnsi" w:eastAsiaTheme="minorHAnsi" w:hAnsiTheme="majorHAnsi"/>
                <w:szCs w:val="22"/>
              </w:rPr>
            </w:pPr>
            <w:r w:rsidRPr="00F4114F">
              <w:rPr>
                <w:rFonts w:asciiTheme="majorHAnsi" w:eastAsiaTheme="minorHAnsi" w:hAnsiTheme="majorHAnsi"/>
                <w:szCs w:val="22"/>
              </w:rPr>
              <w:t>Institutional Opening Day presentations (August)</w:t>
            </w:r>
          </w:p>
        </w:tc>
      </w:tr>
      <w:tr w:rsidR="00720091" w14:paraId="6C390B11" w14:textId="77777777" w:rsidTr="00F4114F">
        <w:tc>
          <w:tcPr>
            <w:tcW w:w="1548" w:type="dxa"/>
          </w:tcPr>
          <w:p w14:paraId="7D801750" w14:textId="77777777" w:rsidR="00720091" w:rsidRPr="00F4114F" w:rsidRDefault="00720091" w:rsidP="00717078">
            <w:pPr>
              <w:contextualSpacing/>
              <w:rPr>
                <w:rFonts w:asciiTheme="majorHAnsi" w:hAnsiTheme="majorHAnsi" w:cs="Times New Roman"/>
                <w:kern w:val="28"/>
              </w:rPr>
            </w:pPr>
          </w:p>
        </w:tc>
        <w:tc>
          <w:tcPr>
            <w:tcW w:w="7886" w:type="dxa"/>
          </w:tcPr>
          <w:p w14:paraId="360B57EE" w14:textId="39D133EE" w:rsidR="00720091" w:rsidRPr="00F4114F" w:rsidRDefault="00720091" w:rsidP="00F4114F">
            <w:pPr>
              <w:pStyle w:val="ListParagraph"/>
              <w:numPr>
                <w:ilvl w:val="0"/>
                <w:numId w:val="10"/>
              </w:numPr>
              <w:spacing w:line="240" w:lineRule="auto"/>
              <w:ind w:left="286" w:hanging="214"/>
              <w:rPr>
                <w:rFonts w:asciiTheme="majorHAnsi" w:eastAsiaTheme="minorHAnsi" w:hAnsiTheme="majorHAnsi"/>
                <w:szCs w:val="22"/>
              </w:rPr>
            </w:pPr>
            <w:r w:rsidRPr="00F4114F">
              <w:rPr>
                <w:rFonts w:asciiTheme="majorHAnsi" w:eastAsiaTheme="minorHAnsi" w:hAnsiTheme="majorHAnsi"/>
                <w:szCs w:val="22"/>
              </w:rPr>
              <w:t>External Evaluation Team Site Visit (October 3 – 6)</w:t>
            </w:r>
          </w:p>
        </w:tc>
      </w:tr>
      <w:tr w:rsidR="00720091" w14:paraId="78B5EA8D" w14:textId="77777777" w:rsidTr="00F4114F">
        <w:tc>
          <w:tcPr>
            <w:tcW w:w="1548" w:type="dxa"/>
          </w:tcPr>
          <w:p w14:paraId="01B9695C" w14:textId="77777777" w:rsidR="00720091" w:rsidRPr="00F4114F" w:rsidRDefault="00720091" w:rsidP="00717078">
            <w:pPr>
              <w:contextualSpacing/>
              <w:rPr>
                <w:rFonts w:asciiTheme="majorHAnsi" w:hAnsiTheme="majorHAnsi" w:cs="Times New Roman"/>
                <w:kern w:val="28"/>
              </w:rPr>
            </w:pPr>
          </w:p>
        </w:tc>
        <w:tc>
          <w:tcPr>
            <w:tcW w:w="7886" w:type="dxa"/>
          </w:tcPr>
          <w:p w14:paraId="410BB1EF" w14:textId="2F06DD7E" w:rsidR="00720091" w:rsidRPr="00F4114F" w:rsidRDefault="00720091" w:rsidP="00F4114F">
            <w:pPr>
              <w:pStyle w:val="ListParagraph"/>
              <w:numPr>
                <w:ilvl w:val="0"/>
                <w:numId w:val="10"/>
              </w:numPr>
              <w:spacing w:line="240" w:lineRule="auto"/>
              <w:ind w:left="286" w:hanging="214"/>
              <w:rPr>
                <w:rFonts w:asciiTheme="majorHAnsi" w:eastAsiaTheme="minorHAnsi" w:hAnsiTheme="majorHAnsi"/>
                <w:szCs w:val="22"/>
              </w:rPr>
            </w:pPr>
            <w:r w:rsidRPr="00F4114F">
              <w:rPr>
                <w:rFonts w:asciiTheme="majorHAnsi" w:eastAsiaTheme="minorHAnsi" w:hAnsiTheme="majorHAnsi"/>
                <w:szCs w:val="22"/>
              </w:rPr>
              <w:t>Accreditation Self Evaluation Steering Committee Debrief</w:t>
            </w:r>
          </w:p>
        </w:tc>
      </w:tr>
      <w:tr w:rsidR="00720091" w14:paraId="13545AE3" w14:textId="77777777" w:rsidTr="00F4114F">
        <w:tc>
          <w:tcPr>
            <w:tcW w:w="1548" w:type="dxa"/>
          </w:tcPr>
          <w:p w14:paraId="20F7D80A" w14:textId="77777777" w:rsidR="00720091" w:rsidRPr="00F4114F" w:rsidRDefault="00720091" w:rsidP="00717078">
            <w:pPr>
              <w:contextualSpacing/>
              <w:rPr>
                <w:rFonts w:asciiTheme="majorHAnsi" w:hAnsiTheme="majorHAnsi" w:cs="Times New Roman"/>
                <w:kern w:val="28"/>
              </w:rPr>
            </w:pPr>
          </w:p>
        </w:tc>
        <w:tc>
          <w:tcPr>
            <w:tcW w:w="7886" w:type="dxa"/>
          </w:tcPr>
          <w:p w14:paraId="5F27C243" w14:textId="77777777" w:rsidR="00720091" w:rsidRPr="00F4114F" w:rsidRDefault="00720091" w:rsidP="00F4114F">
            <w:pPr>
              <w:pStyle w:val="ListParagraph"/>
              <w:spacing w:line="240" w:lineRule="auto"/>
              <w:ind w:left="286"/>
              <w:rPr>
                <w:rFonts w:asciiTheme="majorHAnsi" w:eastAsiaTheme="minorHAnsi" w:hAnsiTheme="majorHAnsi"/>
                <w:color w:val="auto"/>
                <w:szCs w:val="22"/>
              </w:rPr>
            </w:pPr>
          </w:p>
        </w:tc>
      </w:tr>
      <w:tr w:rsidR="00720091" w14:paraId="775184B5" w14:textId="77777777" w:rsidTr="00F4114F">
        <w:tc>
          <w:tcPr>
            <w:tcW w:w="1548" w:type="dxa"/>
          </w:tcPr>
          <w:p w14:paraId="57333993" w14:textId="3B906F75" w:rsidR="00720091" w:rsidRPr="00F4114F" w:rsidRDefault="00720091" w:rsidP="00717078">
            <w:pPr>
              <w:contextualSpacing/>
              <w:rPr>
                <w:rFonts w:asciiTheme="majorHAnsi" w:hAnsiTheme="majorHAnsi" w:cs="Times New Roman"/>
                <w:kern w:val="28"/>
              </w:rPr>
            </w:pPr>
            <w:r w:rsidRPr="00F4114F">
              <w:rPr>
                <w:rFonts w:asciiTheme="majorHAnsi" w:hAnsiTheme="majorHAnsi" w:cs="Times New Roman"/>
                <w:kern w:val="28"/>
              </w:rPr>
              <w:t>Spring 2017</w:t>
            </w:r>
          </w:p>
        </w:tc>
        <w:tc>
          <w:tcPr>
            <w:tcW w:w="7886" w:type="dxa"/>
          </w:tcPr>
          <w:p w14:paraId="6334B004" w14:textId="028E1745" w:rsidR="00720091" w:rsidRPr="00F4114F" w:rsidRDefault="00720091" w:rsidP="00F4114F">
            <w:pPr>
              <w:pStyle w:val="ListParagraph"/>
              <w:numPr>
                <w:ilvl w:val="0"/>
                <w:numId w:val="10"/>
              </w:numPr>
              <w:spacing w:line="240" w:lineRule="auto"/>
              <w:ind w:left="286" w:hanging="214"/>
              <w:rPr>
                <w:rFonts w:asciiTheme="majorHAnsi" w:eastAsiaTheme="minorHAnsi" w:hAnsiTheme="majorHAnsi"/>
                <w:szCs w:val="22"/>
              </w:rPr>
            </w:pPr>
            <w:r w:rsidRPr="00F4114F">
              <w:rPr>
                <w:rFonts w:asciiTheme="majorHAnsi" w:eastAsiaTheme="minorHAnsi" w:hAnsiTheme="majorHAnsi"/>
                <w:szCs w:val="22"/>
              </w:rPr>
              <w:t>Receive letter from ACCJC documenting action taken on Santa Monica College’s Self Evaluation Report and External Evaluation Team’s Recommendations (anticipated January 2017)</w:t>
            </w:r>
          </w:p>
        </w:tc>
      </w:tr>
      <w:tr w:rsidR="00720091" w14:paraId="42C285B6" w14:textId="77777777" w:rsidTr="00F4114F">
        <w:tc>
          <w:tcPr>
            <w:tcW w:w="1548" w:type="dxa"/>
          </w:tcPr>
          <w:p w14:paraId="5A1B7E7F" w14:textId="77777777" w:rsidR="00720091" w:rsidRPr="00F4114F" w:rsidRDefault="00720091" w:rsidP="00717078">
            <w:pPr>
              <w:contextualSpacing/>
              <w:rPr>
                <w:rFonts w:asciiTheme="majorHAnsi" w:hAnsiTheme="majorHAnsi" w:cs="Times New Roman"/>
                <w:kern w:val="28"/>
              </w:rPr>
            </w:pPr>
          </w:p>
        </w:tc>
        <w:tc>
          <w:tcPr>
            <w:tcW w:w="7886" w:type="dxa"/>
          </w:tcPr>
          <w:p w14:paraId="6BD0C27F" w14:textId="1BC77DAD" w:rsidR="00720091" w:rsidRPr="00F4114F" w:rsidRDefault="00720091" w:rsidP="00F4114F">
            <w:pPr>
              <w:pStyle w:val="ListParagraph"/>
              <w:numPr>
                <w:ilvl w:val="0"/>
                <w:numId w:val="10"/>
              </w:numPr>
              <w:spacing w:line="240" w:lineRule="auto"/>
              <w:ind w:left="286" w:hanging="214"/>
              <w:rPr>
                <w:rFonts w:asciiTheme="majorHAnsi" w:eastAsiaTheme="minorHAnsi" w:hAnsiTheme="majorHAnsi"/>
                <w:szCs w:val="22"/>
              </w:rPr>
            </w:pPr>
            <w:r w:rsidRPr="00F4114F">
              <w:rPr>
                <w:rFonts w:asciiTheme="majorHAnsi" w:eastAsiaTheme="minorHAnsi" w:hAnsiTheme="majorHAnsi"/>
                <w:szCs w:val="22"/>
              </w:rPr>
              <w:t>Share results with campus community; post ACCJC letter on Santa Monica College website (anticipated January/February 2017)</w:t>
            </w:r>
          </w:p>
        </w:tc>
      </w:tr>
    </w:tbl>
    <w:p w14:paraId="35993999" w14:textId="074C48A7" w:rsidR="00720091" w:rsidRDefault="00720091">
      <w:r>
        <w:br w:type="page"/>
      </w:r>
    </w:p>
    <w:p w14:paraId="3C9D9CF5" w14:textId="512F678A" w:rsidR="00720091" w:rsidRDefault="00720091" w:rsidP="00FE3A76">
      <w:pPr>
        <w:pStyle w:val="Heading1"/>
      </w:pPr>
      <w:r>
        <w:lastRenderedPageBreak/>
        <w:t>Core Accreditation Self Evaluation Participants</w:t>
      </w:r>
    </w:p>
    <w:tbl>
      <w:tblPr>
        <w:tblStyle w:val="TableGrid"/>
        <w:tblW w:w="9198" w:type="dxa"/>
        <w:tblLook w:val="04A0" w:firstRow="1" w:lastRow="0" w:firstColumn="1" w:lastColumn="0" w:noHBand="0" w:noVBand="1"/>
      </w:tblPr>
      <w:tblGrid>
        <w:gridCol w:w="9198"/>
      </w:tblGrid>
      <w:tr w:rsidR="00720091" w14:paraId="78956745" w14:textId="77777777" w:rsidTr="00D30BD7">
        <w:tc>
          <w:tcPr>
            <w:tcW w:w="9198" w:type="dxa"/>
          </w:tcPr>
          <w:p w14:paraId="39154BEC" w14:textId="1669046B" w:rsidR="00720091" w:rsidRPr="00C11872" w:rsidRDefault="00720091" w:rsidP="00355ABC">
            <w:pPr>
              <w:rPr>
                <w:rFonts w:asciiTheme="majorHAnsi" w:hAnsiTheme="majorHAnsi"/>
                <w:b/>
                <w:sz w:val="23"/>
                <w:szCs w:val="23"/>
              </w:rPr>
            </w:pPr>
            <w:r w:rsidRPr="00C11872">
              <w:rPr>
                <w:rFonts w:asciiTheme="majorHAnsi" w:hAnsiTheme="majorHAnsi"/>
                <w:b/>
                <w:sz w:val="23"/>
                <w:szCs w:val="23"/>
              </w:rPr>
              <w:t>Accreditation Liaison Officer</w:t>
            </w:r>
            <w:r>
              <w:rPr>
                <w:rFonts w:asciiTheme="majorHAnsi" w:hAnsiTheme="majorHAnsi"/>
                <w:b/>
                <w:sz w:val="23"/>
                <w:szCs w:val="23"/>
              </w:rPr>
              <w:t>s</w:t>
            </w:r>
          </w:p>
          <w:p w14:paraId="6DD11294" w14:textId="77777777" w:rsidR="00720091" w:rsidRPr="003D3B77" w:rsidRDefault="00720091" w:rsidP="00355ABC">
            <w:pPr>
              <w:pStyle w:val="ListParagraph"/>
              <w:numPr>
                <w:ilvl w:val="0"/>
                <w:numId w:val="11"/>
              </w:numPr>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Randal Lawson (2013-2014), Executive Vice President</w:t>
            </w:r>
          </w:p>
          <w:p w14:paraId="72F54E19" w14:textId="56DC1FFB" w:rsidR="00720091" w:rsidRPr="003D3B77" w:rsidRDefault="00720091" w:rsidP="00355ABC">
            <w:pPr>
              <w:pStyle w:val="ListParagraph"/>
              <w:numPr>
                <w:ilvl w:val="0"/>
                <w:numId w:val="11"/>
              </w:numPr>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Georgia Lorenz (2014-Present), Vice President, Academic Affairs</w:t>
            </w:r>
          </w:p>
        </w:tc>
      </w:tr>
      <w:tr w:rsidR="00720091" w14:paraId="317B6935" w14:textId="77777777" w:rsidTr="00D30BD7">
        <w:tc>
          <w:tcPr>
            <w:tcW w:w="9198" w:type="dxa"/>
          </w:tcPr>
          <w:p w14:paraId="6126AB6B" w14:textId="77777777" w:rsidR="00720091" w:rsidRPr="00C11872" w:rsidRDefault="00720091" w:rsidP="00355ABC">
            <w:pPr>
              <w:rPr>
                <w:rFonts w:asciiTheme="majorHAnsi" w:hAnsiTheme="majorHAnsi"/>
                <w:b/>
                <w:sz w:val="23"/>
                <w:szCs w:val="23"/>
              </w:rPr>
            </w:pPr>
            <w:r w:rsidRPr="00C11872">
              <w:rPr>
                <w:rFonts w:asciiTheme="majorHAnsi" w:hAnsiTheme="majorHAnsi"/>
                <w:b/>
                <w:sz w:val="23"/>
                <w:szCs w:val="23"/>
              </w:rPr>
              <w:t xml:space="preserve">Accreditation Self Evaluation Co-Chairs </w:t>
            </w:r>
          </w:p>
          <w:p w14:paraId="64430612" w14:textId="3838B074" w:rsidR="00720091" w:rsidRPr="003D3B77" w:rsidRDefault="00720091" w:rsidP="00355ABC">
            <w:pPr>
              <w:pStyle w:val="ListParagraph"/>
              <w:numPr>
                <w:ilvl w:val="0"/>
                <w:numId w:val="11"/>
              </w:numPr>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Eve Adler, Past AS President and Faculty Member, Nursing Program</w:t>
            </w:r>
          </w:p>
          <w:p w14:paraId="4E499CE5" w14:textId="7A4CC0D2" w:rsidR="00720091" w:rsidRPr="003D3B77" w:rsidRDefault="00720091" w:rsidP="00355ABC">
            <w:pPr>
              <w:pStyle w:val="ListParagraph"/>
              <w:numPr>
                <w:ilvl w:val="0"/>
                <w:numId w:val="11"/>
              </w:numPr>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Erica LeBlanc, Dean, Academic Affairs</w:t>
            </w:r>
          </w:p>
        </w:tc>
      </w:tr>
      <w:tr w:rsidR="00720091" w14:paraId="38AD5659" w14:textId="77777777" w:rsidTr="00D30BD7">
        <w:tc>
          <w:tcPr>
            <w:tcW w:w="9198" w:type="dxa"/>
          </w:tcPr>
          <w:p w14:paraId="3C8F4848" w14:textId="77777777" w:rsidR="00720091" w:rsidRPr="00C11872" w:rsidRDefault="00720091" w:rsidP="00355ABC">
            <w:pPr>
              <w:rPr>
                <w:rFonts w:asciiTheme="majorHAnsi" w:hAnsiTheme="majorHAnsi"/>
                <w:b/>
                <w:sz w:val="23"/>
                <w:szCs w:val="23"/>
              </w:rPr>
            </w:pPr>
            <w:r w:rsidRPr="00C11872">
              <w:rPr>
                <w:rFonts w:asciiTheme="majorHAnsi" w:hAnsiTheme="majorHAnsi"/>
                <w:b/>
                <w:sz w:val="23"/>
                <w:szCs w:val="23"/>
              </w:rPr>
              <w:t>Accreditation Self Evaluation Co-Editors</w:t>
            </w:r>
          </w:p>
          <w:p w14:paraId="3BA4AF46" w14:textId="0B11CB86" w:rsidR="00720091" w:rsidRPr="003D3B77" w:rsidRDefault="00720091" w:rsidP="00355ABC">
            <w:pPr>
              <w:pStyle w:val="ListParagraph"/>
              <w:numPr>
                <w:ilvl w:val="0"/>
                <w:numId w:val="11"/>
              </w:numPr>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 xml:space="preserve">Eleni Hioureas, Faculty Member and Vice Chair, English Department </w:t>
            </w:r>
          </w:p>
          <w:p w14:paraId="16A7C0B3" w14:textId="3EFD9DE4" w:rsidR="00720091" w:rsidRPr="003D3B77" w:rsidRDefault="00720091" w:rsidP="00355ABC">
            <w:pPr>
              <w:pStyle w:val="ListParagraph"/>
              <w:numPr>
                <w:ilvl w:val="0"/>
                <w:numId w:val="11"/>
              </w:numPr>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Laurie McQuay-Peninger, Associate Dean, Grants</w:t>
            </w:r>
          </w:p>
        </w:tc>
      </w:tr>
      <w:tr w:rsidR="00B9121B" w14:paraId="2C52C81C" w14:textId="77777777" w:rsidTr="00D30BD7">
        <w:tc>
          <w:tcPr>
            <w:tcW w:w="9198" w:type="dxa"/>
          </w:tcPr>
          <w:p w14:paraId="56E43C26" w14:textId="3570E5F9" w:rsidR="00B9121B" w:rsidRDefault="00B9121B" w:rsidP="00355ABC">
            <w:pPr>
              <w:rPr>
                <w:rFonts w:asciiTheme="majorHAnsi" w:hAnsiTheme="majorHAnsi"/>
                <w:b/>
                <w:sz w:val="23"/>
                <w:szCs w:val="23"/>
              </w:rPr>
            </w:pPr>
            <w:r>
              <w:rPr>
                <w:rFonts w:asciiTheme="majorHAnsi" w:hAnsiTheme="majorHAnsi"/>
                <w:b/>
                <w:sz w:val="23"/>
                <w:szCs w:val="23"/>
              </w:rPr>
              <w:t xml:space="preserve">Evidence Coordination and Administrative Assistant to the Steering Committee </w:t>
            </w:r>
          </w:p>
          <w:p w14:paraId="146CC874" w14:textId="652160C2" w:rsidR="00B9121B" w:rsidRPr="00B9121B" w:rsidRDefault="00B9121B" w:rsidP="00B9121B">
            <w:pPr>
              <w:pStyle w:val="ListParagraph"/>
              <w:numPr>
                <w:ilvl w:val="0"/>
                <w:numId w:val="24"/>
              </w:numPr>
              <w:rPr>
                <w:rFonts w:asciiTheme="majorHAnsi" w:eastAsiaTheme="minorHAnsi" w:hAnsiTheme="majorHAnsi"/>
                <w:b/>
                <w:sz w:val="23"/>
                <w:szCs w:val="23"/>
              </w:rPr>
            </w:pPr>
            <w:r>
              <w:rPr>
                <w:rFonts w:asciiTheme="majorHAnsi" w:eastAsiaTheme="minorHAnsi" w:hAnsiTheme="majorHAnsi"/>
                <w:sz w:val="23"/>
                <w:szCs w:val="23"/>
              </w:rPr>
              <w:t>Rebecca Weiland, Administrative Assistant III, Academic Affairs</w:t>
            </w:r>
          </w:p>
        </w:tc>
      </w:tr>
      <w:tr w:rsidR="00720091" w14:paraId="28D7FDDA" w14:textId="77777777" w:rsidTr="00D30BD7">
        <w:tc>
          <w:tcPr>
            <w:tcW w:w="9198" w:type="dxa"/>
          </w:tcPr>
          <w:p w14:paraId="18DAA73A" w14:textId="12AE5C99" w:rsidR="00720091" w:rsidRPr="00C11872" w:rsidRDefault="00720091" w:rsidP="00355ABC">
            <w:pPr>
              <w:rPr>
                <w:rFonts w:asciiTheme="majorHAnsi" w:hAnsiTheme="majorHAnsi"/>
                <w:b/>
                <w:sz w:val="23"/>
                <w:szCs w:val="23"/>
              </w:rPr>
            </w:pPr>
            <w:r w:rsidRPr="00C11872">
              <w:rPr>
                <w:rFonts w:asciiTheme="majorHAnsi" w:hAnsiTheme="majorHAnsi"/>
                <w:b/>
                <w:sz w:val="23"/>
                <w:szCs w:val="23"/>
              </w:rPr>
              <w:t>Institutional Research and Statistical Support</w:t>
            </w:r>
          </w:p>
          <w:p w14:paraId="6CD65AB0" w14:textId="229F19A8" w:rsidR="00720091" w:rsidRPr="003D3B77" w:rsidRDefault="00720091" w:rsidP="00355ABC">
            <w:pPr>
              <w:pStyle w:val="ListParagraph"/>
              <w:numPr>
                <w:ilvl w:val="0"/>
                <w:numId w:val="11"/>
              </w:numPr>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Hannah Lawler, Dean, Institutional Research</w:t>
            </w:r>
          </w:p>
        </w:tc>
      </w:tr>
      <w:tr w:rsidR="00720091" w14:paraId="14FA6F77" w14:textId="77777777" w:rsidTr="00D30BD7">
        <w:tc>
          <w:tcPr>
            <w:tcW w:w="9198" w:type="dxa"/>
          </w:tcPr>
          <w:p w14:paraId="67676AA2" w14:textId="77777777" w:rsidR="00720091" w:rsidRPr="00C11872" w:rsidRDefault="00720091" w:rsidP="00355ABC">
            <w:pPr>
              <w:rPr>
                <w:rFonts w:asciiTheme="majorHAnsi" w:hAnsiTheme="majorHAnsi"/>
                <w:b/>
                <w:sz w:val="23"/>
                <w:szCs w:val="23"/>
              </w:rPr>
            </w:pPr>
            <w:r w:rsidRPr="00C11872">
              <w:rPr>
                <w:rFonts w:asciiTheme="majorHAnsi" w:hAnsiTheme="majorHAnsi"/>
                <w:b/>
                <w:sz w:val="23"/>
                <w:szCs w:val="23"/>
              </w:rPr>
              <w:t>Academic Senate Presidents</w:t>
            </w:r>
          </w:p>
          <w:p w14:paraId="0572AC96" w14:textId="4CA8161A" w:rsidR="00720091" w:rsidRPr="003D3B77" w:rsidRDefault="00720091" w:rsidP="00355ABC">
            <w:pPr>
              <w:pStyle w:val="ListParagraph"/>
              <w:numPr>
                <w:ilvl w:val="0"/>
                <w:numId w:val="11"/>
              </w:numPr>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Eve Adler (2013-2014), Faculty Member, Nursing Program</w:t>
            </w:r>
          </w:p>
          <w:p w14:paraId="555CBE16" w14:textId="4A563E1E" w:rsidR="00720091" w:rsidRPr="003D3B77" w:rsidRDefault="00720091" w:rsidP="00634B8C">
            <w:pPr>
              <w:pStyle w:val="ListParagraph"/>
              <w:numPr>
                <w:ilvl w:val="0"/>
                <w:numId w:val="11"/>
              </w:numPr>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Fran Chandler (2014-2016), Faculty Member, Business</w:t>
            </w:r>
          </w:p>
        </w:tc>
      </w:tr>
      <w:tr w:rsidR="00720091" w14:paraId="2E89FBC6" w14:textId="77777777" w:rsidTr="00D30BD7">
        <w:tc>
          <w:tcPr>
            <w:tcW w:w="9198" w:type="dxa"/>
          </w:tcPr>
          <w:p w14:paraId="341EBB45" w14:textId="77777777" w:rsidR="00720091" w:rsidRPr="00C11872" w:rsidRDefault="00720091" w:rsidP="00355ABC">
            <w:pPr>
              <w:rPr>
                <w:rFonts w:asciiTheme="majorHAnsi" w:hAnsiTheme="majorHAnsi"/>
                <w:b/>
                <w:sz w:val="23"/>
                <w:szCs w:val="23"/>
              </w:rPr>
            </w:pPr>
            <w:r w:rsidRPr="00C11872">
              <w:rPr>
                <w:rFonts w:asciiTheme="majorHAnsi" w:hAnsiTheme="majorHAnsi"/>
                <w:b/>
                <w:sz w:val="23"/>
                <w:szCs w:val="23"/>
              </w:rPr>
              <w:t>Graphic Design and Production Coordination</w:t>
            </w:r>
          </w:p>
          <w:p w14:paraId="20D1FD57" w14:textId="7419A1C7" w:rsidR="00720091" w:rsidRPr="003D3B77" w:rsidRDefault="00720091" w:rsidP="00355ABC">
            <w:pPr>
              <w:pStyle w:val="ListParagraph"/>
              <w:numPr>
                <w:ilvl w:val="0"/>
                <w:numId w:val="11"/>
              </w:numPr>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Don Girard, Senior Director, Government Relations and Institutional Communications</w:t>
            </w:r>
          </w:p>
          <w:p w14:paraId="32F0A748" w14:textId="4710F14A" w:rsidR="00720091" w:rsidRPr="003D3B77" w:rsidRDefault="00720091" w:rsidP="00355ABC">
            <w:pPr>
              <w:pStyle w:val="ListParagraph"/>
              <w:numPr>
                <w:ilvl w:val="0"/>
                <w:numId w:val="11"/>
              </w:numPr>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Jonathan Ng, Graphic Designer</w:t>
            </w:r>
          </w:p>
          <w:p w14:paraId="6692E0A6" w14:textId="63E2AF95" w:rsidR="00720091" w:rsidRPr="003D3B77" w:rsidRDefault="00720091" w:rsidP="00355ABC">
            <w:pPr>
              <w:pStyle w:val="ListParagraph"/>
              <w:numPr>
                <w:ilvl w:val="0"/>
                <w:numId w:val="11"/>
              </w:numPr>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Ming Yea Wei,</w:t>
            </w:r>
            <w:r w:rsidRPr="003D3B77">
              <w:rPr>
                <w:rFonts w:asciiTheme="majorHAnsi" w:hAnsiTheme="majorHAnsi"/>
                <w:sz w:val="23"/>
                <w:szCs w:val="23"/>
              </w:rPr>
              <w:t xml:space="preserve"> Marketing Design Analyst</w:t>
            </w:r>
          </w:p>
        </w:tc>
      </w:tr>
      <w:tr w:rsidR="00720091" w14:paraId="210D8779" w14:textId="77777777" w:rsidTr="00D30BD7">
        <w:tc>
          <w:tcPr>
            <w:tcW w:w="9198" w:type="dxa"/>
          </w:tcPr>
          <w:p w14:paraId="633CD847" w14:textId="77777777" w:rsidR="00720091" w:rsidRPr="00C11872" w:rsidRDefault="00720091" w:rsidP="00355ABC">
            <w:pPr>
              <w:rPr>
                <w:rFonts w:asciiTheme="majorHAnsi" w:hAnsiTheme="majorHAnsi"/>
                <w:b/>
                <w:sz w:val="23"/>
                <w:szCs w:val="23"/>
              </w:rPr>
            </w:pPr>
            <w:r w:rsidRPr="00C11872">
              <w:rPr>
                <w:rFonts w:asciiTheme="majorHAnsi" w:hAnsiTheme="majorHAnsi"/>
                <w:b/>
                <w:sz w:val="23"/>
                <w:szCs w:val="23"/>
              </w:rPr>
              <w:t>Community Relations, Web and Internal Communication Support</w:t>
            </w:r>
          </w:p>
          <w:p w14:paraId="04A88290" w14:textId="77777777" w:rsidR="00720091" w:rsidRPr="003D3B77" w:rsidRDefault="00720091" w:rsidP="00355ABC">
            <w:pPr>
              <w:pStyle w:val="ListParagraph"/>
              <w:numPr>
                <w:ilvl w:val="0"/>
                <w:numId w:val="11"/>
              </w:numPr>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Kiersten Elliott, Dean, Community and Academic Relations</w:t>
            </w:r>
          </w:p>
          <w:p w14:paraId="6DAF7764" w14:textId="77777777" w:rsidR="00720091" w:rsidRPr="003D3B77" w:rsidRDefault="00720091" w:rsidP="00355ABC">
            <w:pPr>
              <w:pStyle w:val="ListParagraph"/>
              <w:numPr>
                <w:ilvl w:val="0"/>
                <w:numId w:val="11"/>
              </w:numPr>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Regina Ip, Web/Social Media Manager</w:t>
            </w:r>
          </w:p>
          <w:p w14:paraId="7E8C9B84" w14:textId="1E5DC012" w:rsidR="00720091" w:rsidRPr="003D3B77" w:rsidRDefault="00720091" w:rsidP="00355ABC">
            <w:pPr>
              <w:pStyle w:val="ListParagraph"/>
              <w:numPr>
                <w:ilvl w:val="0"/>
                <w:numId w:val="11"/>
              </w:numPr>
              <w:spacing w:line="240" w:lineRule="auto"/>
              <w:rPr>
                <w:rFonts w:asciiTheme="majorHAnsi" w:hAnsiTheme="majorHAnsi"/>
                <w:sz w:val="23"/>
                <w:szCs w:val="23"/>
              </w:rPr>
            </w:pPr>
            <w:r w:rsidRPr="003D3B77">
              <w:rPr>
                <w:rFonts w:asciiTheme="majorHAnsi" w:eastAsiaTheme="minorHAnsi" w:hAnsiTheme="majorHAnsi"/>
                <w:sz w:val="23"/>
                <w:szCs w:val="23"/>
              </w:rPr>
              <w:t>Grace Smith, Public Information Officer</w:t>
            </w:r>
          </w:p>
        </w:tc>
      </w:tr>
      <w:tr w:rsidR="00720091" w14:paraId="25FCD509" w14:textId="77777777" w:rsidTr="00D30BD7">
        <w:tc>
          <w:tcPr>
            <w:tcW w:w="9198" w:type="dxa"/>
          </w:tcPr>
          <w:p w14:paraId="58D50B32" w14:textId="77777777" w:rsidR="00720091" w:rsidRPr="00C11872" w:rsidRDefault="00720091" w:rsidP="00355ABC">
            <w:pPr>
              <w:rPr>
                <w:rFonts w:asciiTheme="majorHAnsi" w:hAnsiTheme="majorHAnsi"/>
                <w:b/>
                <w:sz w:val="23"/>
                <w:szCs w:val="23"/>
              </w:rPr>
            </w:pPr>
            <w:r w:rsidRPr="00C11872">
              <w:rPr>
                <w:rFonts w:asciiTheme="majorHAnsi" w:hAnsiTheme="majorHAnsi"/>
                <w:b/>
                <w:sz w:val="23"/>
                <w:szCs w:val="23"/>
              </w:rPr>
              <w:t>Associated Students Presidents</w:t>
            </w:r>
          </w:p>
          <w:p w14:paraId="2F64C48E" w14:textId="35BAEBCC" w:rsidR="00720091" w:rsidRPr="003D3B77" w:rsidRDefault="00720091" w:rsidP="00355ABC">
            <w:pPr>
              <w:pStyle w:val="ListParagraph"/>
              <w:numPr>
                <w:ilvl w:val="0"/>
                <w:numId w:val="16"/>
              </w:numPr>
              <w:tabs>
                <w:tab w:val="right" w:pos="8910"/>
              </w:tabs>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Ty Moura (2013-2014)</w:t>
            </w:r>
          </w:p>
          <w:p w14:paraId="47D53C66" w14:textId="521E5744" w:rsidR="00720091" w:rsidRPr="003D3B77" w:rsidRDefault="00634B8C" w:rsidP="00355ABC">
            <w:pPr>
              <w:pStyle w:val="ListParagraph"/>
              <w:numPr>
                <w:ilvl w:val="0"/>
                <w:numId w:val="16"/>
              </w:numPr>
              <w:tabs>
                <w:tab w:val="right" w:pos="8910"/>
              </w:tabs>
              <w:spacing w:line="240" w:lineRule="auto"/>
              <w:rPr>
                <w:rFonts w:asciiTheme="majorHAnsi" w:eastAsiaTheme="minorHAnsi" w:hAnsiTheme="majorHAnsi"/>
                <w:sz w:val="23"/>
                <w:szCs w:val="23"/>
              </w:rPr>
            </w:pPr>
            <w:r>
              <w:rPr>
                <w:rFonts w:asciiTheme="majorHAnsi" w:eastAsiaTheme="minorHAnsi" w:hAnsiTheme="majorHAnsi"/>
                <w:sz w:val="23"/>
                <w:szCs w:val="23"/>
              </w:rPr>
              <w:t>Ali Khan (</w:t>
            </w:r>
            <w:r w:rsidR="00720091" w:rsidRPr="003D3B77">
              <w:rPr>
                <w:rFonts w:asciiTheme="majorHAnsi" w:eastAsiaTheme="minorHAnsi" w:hAnsiTheme="majorHAnsi"/>
                <w:sz w:val="23"/>
                <w:szCs w:val="23"/>
              </w:rPr>
              <w:t>2014-15)</w:t>
            </w:r>
          </w:p>
          <w:p w14:paraId="5A7AF377" w14:textId="1F6D5CD3" w:rsidR="00720091" w:rsidRPr="003D3B77" w:rsidRDefault="00634B8C" w:rsidP="00355ABC">
            <w:pPr>
              <w:pStyle w:val="ListParagraph"/>
              <w:numPr>
                <w:ilvl w:val="0"/>
                <w:numId w:val="16"/>
              </w:numPr>
              <w:tabs>
                <w:tab w:val="right" w:pos="8910"/>
              </w:tabs>
              <w:spacing w:line="240" w:lineRule="auto"/>
              <w:rPr>
                <w:rFonts w:asciiTheme="majorHAnsi" w:eastAsiaTheme="minorHAnsi" w:hAnsiTheme="majorHAnsi"/>
                <w:sz w:val="23"/>
                <w:szCs w:val="23"/>
              </w:rPr>
            </w:pPr>
            <w:r>
              <w:rPr>
                <w:rFonts w:asciiTheme="majorHAnsi" w:eastAsiaTheme="minorHAnsi" w:hAnsiTheme="majorHAnsi"/>
                <w:sz w:val="23"/>
                <w:szCs w:val="23"/>
              </w:rPr>
              <w:t>Jesse Randel (</w:t>
            </w:r>
            <w:r w:rsidR="00720091" w:rsidRPr="003D3B77">
              <w:rPr>
                <w:rFonts w:asciiTheme="majorHAnsi" w:eastAsiaTheme="minorHAnsi" w:hAnsiTheme="majorHAnsi"/>
                <w:sz w:val="23"/>
                <w:szCs w:val="23"/>
              </w:rPr>
              <w:t>2015-2016)</w:t>
            </w:r>
          </w:p>
          <w:p w14:paraId="7953FC23" w14:textId="251524B7" w:rsidR="00720091" w:rsidRPr="003D3B77" w:rsidRDefault="00634B8C" w:rsidP="00355ABC">
            <w:pPr>
              <w:pStyle w:val="ListParagraph"/>
              <w:numPr>
                <w:ilvl w:val="0"/>
                <w:numId w:val="16"/>
              </w:numPr>
              <w:tabs>
                <w:tab w:val="right" w:pos="8910"/>
              </w:tabs>
              <w:spacing w:line="240" w:lineRule="auto"/>
              <w:rPr>
                <w:rFonts w:asciiTheme="majorHAnsi" w:eastAsiaTheme="minorHAnsi" w:hAnsiTheme="majorHAnsi"/>
                <w:sz w:val="23"/>
                <w:szCs w:val="23"/>
              </w:rPr>
            </w:pPr>
            <w:r>
              <w:rPr>
                <w:rFonts w:asciiTheme="majorHAnsi" w:eastAsiaTheme="minorHAnsi" w:hAnsiTheme="majorHAnsi"/>
                <w:sz w:val="23"/>
                <w:szCs w:val="23"/>
              </w:rPr>
              <w:t>Terrance Ware (</w:t>
            </w:r>
            <w:r w:rsidR="00720091" w:rsidRPr="003D3B77">
              <w:rPr>
                <w:rFonts w:asciiTheme="majorHAnsi" w:eastAsiaTheme="minorHAnsi" w:hAnsiTheme="majorHAnsi"/>
                <w:sz w:val="23"/>
                <w:szCs w:val="23"/>
              </w:rPr>
              <w:t>2016-17)</w:t>
            </w:r>
          </w:p>
        </w:tc>
      </w:tr>
      <w:tr w:rsidR="00720091" w14:paraId="26784FCF" w14:textId="77777777" w:rsidTr="00D30BD7">
        <w:tc>
          <w:tcPr>
            <w:tcW w:w="9198" w:type="dxa"/>
          </w:tcPr>
          <w:p w14:paraId="63896478" w14:textId="01FC7285" w:rsidR="00720091" w:rsidRPr="00C11872" w:rsidRDefault="00720091" w:rsidP="00355ABC">
            <w:pPr>
              <w:rPr>
                <w:rFonts w:asciiTheme="majorHAnsi" w:hAnsiTheme="majorHAnsi"/>
                <w:b/>
                <w:sz w:val="23"/>
                <w:szCs w:val="23"/>
              </w:rPr>
            </w:pPr>
            <w:r w:rsidRPr="00C11872">
              <w:rPr>
                <w:rFonts w:asciiTheme="majorHAnsi" w:hAnsiTheme="majorHAnsi"/>
                <w:b/>
                <w:sz w:val="23"/>
                <w:szCs w:val="23"/>
              </w:rPr>
              <w:t>Standard I: Mission, Academic Quality, Institutional Effectiveness and Integrity</w:t>
            </w:r>
          </w:p>
          <w:p w14:paraId="7D5B5310" w14:textId="0943201E" w:rsidR="00720091" w:rsidRPr="003D3B77" w:rsidRDefault="00720091" w:rsidP="00355ABC">
            <w:pPr>
              <w:pStyle w:val="ListParagraph"/>
              <w:numPr>
                <w:ilvl w:val="0"/>
                <w:numId w:val="16"/>
              </w:numPr>
              <w:tabs>
                <w:tab w:val="right" w:pos="8910"/>
              </w:tabs>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Eric Oifer, Standard I Co-Chair and Faculty Member, Philosophy and Social Sciences</w:t>
            </w:r>
          </w:p>
          <w:p w14:paraId="22A3FB84" w14:textId="77777777" w:rsidR="00720091" w:rsidRPr="003D3B77" w:rsidRDefault="00720091" w:rsidP="00355ABC">
            <w:pPr>
              <w:pStyle w:val="ListParagraph"/>
              <w:numPr>
                <w:ilvl w:val="0"/>
                <w:numId w:val="16"/>
              </w:numPr>
              <w:tabs>
                <w:tab w:val="right" w:pos="8910"/>
              </w:tabs>
              <w:spacing w:line="240" w:lineRule="auto"/>
              <w:rPr>
                <w:rFonts w:asciiTheme="majorHAnsi" w:hAnsiTheme="majorHAnsi"/>
                <w:sz w:val="23"/>
                <w:szCs w:val="23"/>
              </w:rPr>
            </w:pPr>
            <w:r w:rsidRPr="003D3B77">
              <w:rPr>
                <w:rFonts w:asciiTheme="majorHAnsi" w:eastAsiaTheme="minorHAnsi" w:hAnsiTheme="majorHAnsi"/>
                <w:sz w:val="23"/>
                <w:szCs w:val="23"/>
              </w:rPr>
              <w:t>Katharine Muller, Standard I Co-Chair and Special Assistant to the President</w:t>
            </w:r>
          </w:p>
          <w:p w14:paraId="15920253" w14:textId="098B0723" w:rsidR="00720091" w:rsidRPr="00C11872" w:rsidRDefault="00720091" w:rsidP="00355ABC">
            <w:pPr>
              <w:rPr>
                <w:rFonts w:asciiTheme="majorHAnsi" w:hAnsiTheme="majorHAnsi"/>
                <w:b/>
                <w:sz w:val="23"/>
                <w:szCs w:val="23"/>
              </w:rPr>
            </w:pPr>
            <w:r w:rsidRPr="00C11872">
              <w:rPr>
                <w:rFonts w:asciiTheme="majorHAnsi" w:hAnsiTheme="majorHAnsi"/>
                <w:b/>
                <w:sz w:val="23"/>
                <w:szCs w:val="23"/>
              </w:rPr>
              <w:t>Standard IA: Mission</w:t>
            </w:r>
          </w:p>
          <w:p w14:paraId="56D700DC" w14:textId="27C762AF" w:rsidR="00720091" w:rsidRPr="003D3B77" w:rsidRDefault="00720091" w:rsidP="00355ABC">
            <w:pPr>
              <w:pStyle w:val="ListParagraph"/>
              <w:numPr>
                <w:ilvl w:val="0"/>
                <w:numId w:val="16"/>
              </w:numPr>
              <w:tabs>
                <w:tab w:val="right" w:pos="8910"/>
              </w:tabs>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Christine Schultz, Standard IA Co-Chair and Faculty Member/Department Chair, Philosophy and Social Sciences</w:t>
            </w:r>
          </w:p>
          <w:p w14:paraId="1148DF2D" w14:textId="44C73202" w:rsidR="00720091" w:rsidRPr="003D3B77" w:rsidRDefault="00720091" w:rsidP="00355ABC">
            <w:pPr>
              <w:pStyle w:val="ListParagraph"/>
              <w:numPr>
                <w:ilvl w:val="0"/>
                <w:numId w:val="16"/>
              </w:numPr>
              <w:tabs>
                <w:tab w:val="right" w:pos="8910"/>
              </w:tabs>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Roberto Gonzalez, Standard IA Co-Chair and Dean, Student Success Initiatives</w:t>
            </w:r>
          </w:p>
          <w:p w14:paraId="7C506722" w14:textId="76F8110A" w:rsidR="00720091" w:rsidRPr="00C11872" w:rsidRDefault="00720091" w:rsidP="00355ABC">
            <w:pPr>
              <w:rPr>
                <w:rFonts w:asciiTheme="majorHAnsi" w:hAnsiTheme="majorHAnsi"/>
                <w:b/>
                <w:sz w:val="23"/>
                <w:szCs w:val="23"/>
              </w:rPr>
            </w:pPr>
            <w:r w:rsidRPr="00C11872">
              <w:rPr>
                <w:rFonts w:asciiTheme="majorHAnsi" w:hAnsiTheme="majorHAnsi"/>
                <w:b/>
                <w:sz w:val="23"/>
                <w:szCs w:val="23"/>
              </w:rPr>
              <w:t>Standard IB: Assuring Academic Quality and Effectiveness</w:t>
            </w:r>
          </w:p>
          <w:p w14:paraId="2DD289F8" w14:textId="09A57819" w:rsidR="00720091" w:rsidRPr="003D3B77" w:rsidRDefault="00720091" w:rsidP="00355ABC">
            <w:pPr>
              <w:pStyle w:val="ListParagraph"/>
              <w:numPr>
                <w:ilvl w:val="0"/>
                <w:numId w:val="16"/>
              </w:numPr>
              <w:tabs>
                <w:tab w:val="right" w:pos="8910"/>
              </w:tabs>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Teresa Garcia, Standard IB Co-Chair and Faculty Lead, Scholar’s Program</w:t>
            </w:r>
          </w:p>
          <w:p w14:paraId="6FE99655" w14:textId="2BFD1533" w:rsidR="00720091" w:rsidRPr="003D3B77" w:rsidRDefault="00720091" w:rsidP="00355ABC">
            <w:pPr>
              <w:pStyle w:val="ListParagraph"/>
              <w:numPr>
                <w:ilvl w:val="0"/>
                <w:numId w:val="16"/>
              </w:numPr>
              <w:tabs>
                <w:tab w:val="right" w:pos="8910"/>
              </w:tabs>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Hannah Lawler, Standard IB Co-Chair, Dean, Institutional Research</w:t>
            </w:r>
          </w:p>
          <w:p w14:paraId="174D0D1B" w14:textId="33D93DC8" w:rsidR="00720091" w:rsidRPr="00C11872" w:rsidRDefault="00720091" w:rsidP="00355ABC">
            <w:pPr>
              <w:rPr>
                <w:rFonts w:asciiTheme="majorHAnsi" w:hAnsiTheme="majorHAnsi"/>
                <w:b/>
                <w:sz w:val="23"/>
                <w:szCs w:val="23"/>
              </w:rPr>
            </w:pPr>
            <w:r w:rsidRPr="00C11872">
              <w:rPr>
                <w:rFonts w:asciiTheme="majorHAnsi" w:hAnsiTheme="majorHAnsi"/>
                <w:b/>
                <w:sz w:val="23"/>
                <w:szCs w:val="23"/>
              </w:rPr>
              <w:t>Standard IC: Institutional Integrity</w:t>
            </w:r>
          </w:p>
          <w:p w14:paraId="7C4F9029" w14:textId="4E9F945D" w:rsidR="00720091" w:rsidRPr="003D3B77" w:rsidRDefault="00720091" w:rsidP="00355ABC">
            <w:pPr>
              <w:pStyle w:val="ListParagraph"/>
              <w:numPr>
                <w:ilvl w:val="0"/>
                <w:numId w:val="16"/>
              </w:numPr>
              <w:tabs>
                <w:tab w:val="right" w:pos="8910"/>
              </w:tabs>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 xml:space="preserve">Greg Brookins, Standard IC Co-Chair and Faculty Member, Business </w:t>
            </w:r>
          </w:p>
          <w:p w14:paraId="20CAFDD3" w14:textId="3750C6F6" w:rsidR="00720091" w:rsidRPr="003D3B77" w:rsidRDefault="00720091" w:rsidP="00355ABC">
            <w:pPr>
              <w:pStyle w:val="ListParagraph"/>
              <w:numPr>
                <w:ilvl w:val="0"/>
                <w:numId w:val="16"/>
              </w:numPr>
              <w:tabs>
                <w:tab w:val="right" w:pos="8910"/>
              </w:tabs>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Deyna Hearn, Standard IC Co-Chair and Dean of Students</w:t>
            </w:r>
          </w:p>
        </w:tc>
      </w:tr>
      <w:tr w:rsidR="00720091" w14:paraId="53EA102B" w14:textId="77777777" w:rsidTr="00D30BD7">
        <w:tc>
          <w:tcPr>
            <w:tcW w:w="9198" w:type="dxa"/>
          </w:tcPr>
          <w:p w14:paraId="5CAE6823" w14:textId="3F6A489A" w:rsidR="00720091" w:rsidRPr="00C11872" w:rsidRDefault="00720091" w:rsidP="00355ABC">
            <w:pPr>
              <w:rPr>
                <w:rFonts w:asciiTheme="majorHAnsi" w:hAnsiTheme="majorHAnsi"/>
                <w:b/>
                <w:sz w:val="23"/>
                <w:szCs w:val="23"/>
              </w:rPr>
            </w:pPr>
            <w:r w:rsidRPr="00C11872">
              <w:rPr>
                <w:rFonts w:asciiTheme="majorHAnsi" w:hAnsiTheme="majorHAnsi"/>
                <w:b/>
                <w:sz w:val="23"/>
                <w:szCs w:val="23"/>
              </w:rPr>
              <w:lastRenderedPageBreak/>
              <w:t>Standard II: Student Learning Programs and Services Co-Chairs</w:t>
            </w:r>
          </w:p>
          <w:p w14:paraId="4A82B367" w14:textId="685B813B" w:rsidR="00720091" w:rsidRPr="003D3B77" w:rsidRDefault="00720091" w:rsidP="00355ABC">
            <w:pPr>
              <w:pStyle w:val="ListParagraph"/>
              <w:numPr>
                <w:ilvl w:val="0"/>
                <w:numId w:val="16"/>
              </w:numPr>
              <w:tabs>
                <w:tab w:val="right" w:pos="8910"/>
              </w:tabs>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Mary Colavito, Standard II Co-Chair and Faculty Member/Department Chair, Life Science</w:t>
            </w:r>
          </w:p>
          <w:p w14:paraId="6EBC90D9" w14:textId="77777777" w:rsidR="00720091" w:rsidRPr="003D3B77" w:rsidRDefault="00720091" w:rsidP="00355ABC">
            <w:pPr>
              <w:pStyle w:val="ListParagraph"/>
              <w:numPr>
                <w:ilvl w:val="0"/>
                <w:numId w:val="16"/>
              </w:numPr>
              <w:tabs>
                <w:tab w:val="right" w:pos="8910"/>
              </w:tabs>
              <w:spacing w:line="240" w:lineRule="auto"/>
              <w:rPr>
                <w:rFonts w:asciiTheme="majorHAnsi" w:hAnsiTheme="majorHAnsi"/>
                <w:sz w:val="23"/>
                <w:szCs w:val="23"/>
              </w:rPr>
            </w:pPr>
            <w:r w:rsidRPr="003D3B77">
              <w:rPr>
                <w:rFonts w:asciiTheme="majorHAnsi" w:eastAsiaTheme="minorHAnsi" w:hAnsiTheme="majorHAnsi"/>
                <w:sz w:val="23"/>
                <w:szCs w:val="23"/>
              </w:rPr>
              <w:t>M</w:t>
            </w:r>
            <w:r w:rsidRPr="003D3B77">
              <w:rPr>
                <w:rFonts w:asciiTheme="majorHAnsi" w:hAnsiTheme="majorHAnsi"/>
                <w:sz w:val="23"/>
                <w:szCs w:val="23"/>
              </w:rPr>
              <w:t>ichael Tuitasi, Standard II Co-Chair and Vice President, Student Affairs</w:t>
            </w:r>
          </w:p>
          <w:p w14:paraId="45C5FC7E" w14:textId="71D0B7FD" w:rsidR="00720091" w:rsidRPr="00C11872" w:rsidRDefault="00720091" w:rsidP="00355ABC">
            <w:pPr>
              <w:rPr>
                <w:rFonts w:asciiTheme="majorHAnsi" w:hAnsiTheme="majorHAnsi"/>
                <w:b/>
                <w:sz w:val="23"/>
                <w:szCs w:val="23"/>
              </w:rPr>
            </w:pPr>
            <w:r w:rsidRPr="00C11872">
              <w:rPr>
                <w:rFonts w:asciiTheme="majorHAnsi" w:hAnsiTheme="majorHAnsi"/>
                <w:b/>
                <w:sz w:val="23"/>
                <w:szCs w:val="23"/>
              </w:rPr>
              <w:t>Standard IIA: Instructional Programs</w:t>
            </w:r>
          </w:p>
          <w:p w14:paraId="24C94E3E" w14:textId="69E6277C" w:rsidR="00720091" w:rsidRPr="003D3B77" w:rsidRDefault="00720091" w:rsidP="00355ABC">
            <w:pPr>
              <w:pStyle w:val="ListParagraph"/>
              <w:numPr>
                <w:ilvl w:val="0"/>
                <w:numId w:val="16"/>
              </w:numPr>
              <w:tabs>
                <w:tab w:val="right" w:pos="8910"/>
              </w:tabs>
              <w:spacing w:line="240" w:lineRule="auto"/>
              <w:rPr>
                <w:rFonts w:asciiTheme="majorHAnsi" w:hAnsiTheme="majorHAnsi"/>
                <w:sz w:val="23"/>
                <w:szCs w:val="23"/>
              </w:rPr>
            </w:pPr>
            <w:r w:rsidRPr="003D3B77">
              <w:rPr>
                <w:rFonts w:asciiTheme="majorHAnsi" w:hAnsiTheme="majorHAnsi"/>
                <w:sz w:val="23"/>
                <w:szCs w:val="23"/>
              </w:rPr>
              <w:t xml:space="preserve">Jamey </w:t>
            </w:r>
            <w:r w:rsidRPr="003D3B77">
              <w:rPr>
                <w:rFonts w:asciiTheme="majorHAnsi" w:eastAsiaTheme="minorHAnsi" w:hAnsiTheme="majorHAnsi"/>
                <w:sz w:val="23"/>
                <w:szCs w:val="23"/>
              </w:rPr>
              <w:t>Anderson</w:t>
            </w:r>
            <w:r w:rsidRPr="003D3B77">
              <w:rPr>
                <w:rFonts w:asciiTheme="majorHAnsi" w:hAnsiTheme="majorHAnsi"/>
                <w:sz w:val="23"/>
                <w:szCs w:val="23"/>
              </w:rPr>
              <w:t>, Standard IIA Co-Chair and Faculty Member/Department Chair, Physical Sciences</w:t>
            </w:r>
          </w:p>
          <w:p w14:paraId="59CB59FE" w14:textId="6E0A66C4" w:rsidR="00720091" w:rsidRPr="003D3B77" w:rsidRDefault="00720091" w:rsidP="00355ABC">
            <w:pPr>
              <w:pStyle w:val="ListParagraph"/>
              <w:numPr>
                <w:ilvl w:val="0"/>
                <w:numId w:val="16"/>
              </w:numPr>
              <w:tabs>
                <w:tab w:val="right" w:pos="8910"/>
              </w:tabs>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Jenny Merlic, Standard IIA Co-Chair and Dean, Instructional Services</w:t>
            </w:r>
          </w:p>
          <w:p w14:paraId="69484B53" w14:textId="4A9B4F3C" w:rsidR="00720091" w:rsidRPr="00C11872" w:rsidRDefault="00720091" w:rsidP="00355ABC">
            <w:pPr>
              <w:rPr>
                <w:rFonts w:asciiTheme="majorHAnsi" w:hAnsiTheme="majorHAnsi"/>
                <w:b/>
                <w:sz w:val="23"/>
                <w:szCs w:val="23"/>
              </w:rPr>
            </w:pPr>
            <w:r w:rsidRPr="00C11872">
              <w:rPr>
                <w:rFonts w:asciiTheme="majorHAnsi" w:hAnsiTheme="majorHAnsi"/>
                <w:b/>
                <w:sz w:val="23"/>
                <w:szCs w:val="23"/>
              </w:rPr>
              <w:t>Standard IIB: Library and Learning Resources</w:t>
            </w:r>
          </w:p>
          <w:p w14:paraId="2E9B11D3" w14:textId="508ABCEE" w:rsidR="00720091" w:rsidRPr="003D3B77" w:rsidRDefault="00720091" w:rsidP="00355ABC">
            <w:pPr>
              <w:pStyle w:val="ListParagraph"/>
              <w:numPr>
                <w:ilvl w:val="0"/>
                <w:numId w:val="16"/>
              </w:numPr>
              <w:tabs>
                <w:tab w:val="right" w:pos="8910"/>
              </w:tabs>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Patricia Burson, Co-Chair and Librarian (2013 – 2015), Interim Dean, Library and Information Services</w:t>
            </w:r>
          </w:p>
          <w:p w14:paraId="0E0791F0" w14:textId="0E55FF47" w:rsidR="00720091" w:rsidRPr="003D3B77" w:rsidRDefault="00720091" w:rsidP="00355ABC">
            <w:pPr>
              <w:pStyle w:val="ListParagraph"/>
              <w:numPr>
                <w:ilvl w:val="0"/>
                <w:numId w:val="16"/>
              </w:numPr>
              <w:tabs>
                <w:tab w:val="right" w:pos="8910"/>
              </w:tabs>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Denise Kinsella, Co-Chair and Associate Dean, International Education</w:t>
            </w:r>
          </w:p>
          <w:p w14:paraId="083DA186" w14:textId="7AA18A19" w:rsidR="00720091" w:rsidRPr="00C11872" w:rsidRDefault="00720091" w:rsidP="00355ABC">
            <w:pPr>
              <w:rPr>
                <w:rFonts w:asciiTheme="majorHAnsi" w:hAnsiTheme="majorHAnsi"/>
                <w:b/>
                <w:sz w:val="23"/>
                <w:szCs w:val="23"/>
              </w:rPr>
            </w:pPr>
            <w:r w:rsidRPr="00C11872">
              <w:rPr>
                <w:rFonts w:asciiTheme="majorHAnsi" w:hAnsiTheme="majorHAnsi"/>
                <w:b/>
                <w:sz w:val="23"/>
                <w:szCs w:val="23"/>
              </w:rPr>
              <w:t>Standard IIC: Student Services</w:t>
            </w:r>
          </w:p>
          <w:p w14:paraId="1EAAB5D2" w14:textId="427D39EC" w:rsidR="00720091" w:rsidRPr="003D3B77" w:rsidRDefault="00720091" w:rsidP="00355ABC">
            <w:pPr>
              <w:pStyle w:val="ListParagraph"/>
              <w:numPr>
                <w:ilvl w:val="0"/>
                <w:numId w:val="16"/>
              </w:numPr>
              <w:tabs>
                <w:tab w:val="right" w:pos="8910"/>
              </w:tabs>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Jose Cue, Standard IIC Co-Chair and Faculty Member, Counseling</w:t>
            </w:r>
          </w:p>
          <w:p w14:paraId="3AD336CC" w14:textId="5BB8DC2B" w:rsidR="00720091" w:rsidRPr="003D3B77" w:rsidRDefault="00720091" w:rsidP="00355ABC">
            <w:pPr>
              <w:pStyle w:val="ListParagraph"/>
              <w:numPr>
                <w:ilvl w:val="0"/>
                <w:numId w:val="16"/>
              </w:numPr>
              <w:tabs>
                <w:tab w:val="right" w:pos="8910"/>
              </w:tabs>
              <w:spacing w:line="240" w:lineRule="auto"/>
              <w:rPr>
                <w:rFonts w:asciiTheme="majorHAnsi" w:hAnsiTheme="majorHAnsi"/>
                <w:sz w:val="23"/>
                <w:szCs w:val="23"/>
              </w:rPr>
            </w:pPr>
            <w:r w:rsidRPr="003D3B77">
              <w:rPr>
                <w:rFonts w:asciiTheme="majorHAnsi" w:eastAsiaTheme="minorHAnsi" w:hAnsiTheme="majorHAnsi"/>
                <w:sz w:val="23"/>
                <w:szCs w:val="23"/>
              </w:rPr>
              <w:t>Brenda Benson, Standard IIC Co-Chair and Senior Administrative Dean, Retention and Student Wellness</w:t>
            </w:r>
          </w:p>
        </w:tc>
      </w:tr>
      <w:tr w:rsidR="00720091" w14:paraId="7A8C462C" w14:textId="77777777" w:rsidTr="00D30BD7">
        <w:tc>
          <w:tcPr>
            <w:tcW w:w="9198" w:type="dxa"/>
          </w:tcPr>
          <w:p w14:paraId="62319C02" w14:textId="72177170" w:rsidR="00720091" w:rsidRPr="00C11872" w:rsidRDefault="00720091" w:rsidP="00355ABC">
            <w:pPr>
              <w:rPr>
                <w:rFonts w:asciiTheme="majorHAnsi" w:hAnsiTheme="majorHAnsi"/>
                <w:b/>
                <w:sz w:val="23"/>
                <w:szCs w:val="23"/>
              </w:rPr>
            </w:pPr>
            <w:r w:rsidRPr="00C11872">
              <w:rPr>
                <w:rFonts w:asciiTheme="majorHAnsi" w:hAnsiTheme="majorHAnsi"/>
                <w:b/>
                <w:sz w:val="23"/>
                <w:szCs w:val="23"/>
              </w:rPr>
              <w:t>Standard III: Resources</w:t>
            </w:r>
          </w:p>
          <w:p w14:paraId="44C0F560" w14:textId="12EB32F3" w:rsidR="00720091" w:rsidRPr="003D3B77" w:rsidRDefault="00720091" w:rsidP="00355ABC">
            <w:pPr>
              <w:pStyle w:val="ListParagraph"/>
              <w:numPr>
                <w:ilvl w:val="0"/>
                <w:numId w:val="16"/>
              </w:numPr>
              <w:tabs>
                <w:tab w:val="right" w:pos="8910"/>
              </w:tabs>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 xml:space="preserve">Janet Harclerode, Standard III Co-Chair and Faculty Member/Department Chair, </w:t>
            </w:r>
            <w:r>
              <w:rPr>
                <w:rFonts w:asciiTheme="majorHAnsi" w:eastAsiaTheme="minorHAnsi" w:hAnsiTheme="majorHAnsi"/>
                <w:sz w:val="23"/>
                <w:szCs w:val="23"/>
              </w:rPr>
              <w:t>ESL</w:t>
            </w:r>
          </w:p>
          <w:p w14:paraId="46D26840" w14:textId="77777777" w:rsidR="00720091" w:rsidRPr="003D3B77" w:rsidRDefault="00720091" w:rsidP="00355ABC">
            <w:pPr>
              <w:pStyle w:val="ListParagraph"/>
              <w:numPr>
                <w:ilvl w:val="0"/>
                <w:numId w:val="16"/>
              </w:numPr>
              <w:tabs>
                <w:tab w:val="right" w:pos="8910"/>
              </w:tabs>
              <w:spacing w:line="240" w:lineRule="auto"/>
              <w:rPr>
                <w:rFonts w:asciiTheme="majorHAnsi" w:hAnsiTheme="majorHAnsi"/>
                <w:sz w:val="23"/>
                <w:szCs w:val="23"/>
              </w:rPr>
            </w:pPr>
            <w:r w:rsidRPr="003D3B77">
              <w:rPr>
                <w:rFonts w:asciiTheme="majorHAnsi" w:eastAsiaTheme="minorHAnsi" w:hAnsiTheme="majorHAnsi"/>
                <w:sz w:val="23"/>
                <w:szCs w:val="23"/>
              </w:rPr>
              <w:t>B</w:t>
            </w:r>
            <w:r w:rsidRPr="003D3B77">
              <w:rPr>
                <w:rFonts w:asciiTheme="majorHAnsi" w:hAnsiTheme="majorHAnsi"/>
                <w:sz w:val="23"/>
                <w:szCs w:val="23"/>
              </w:rPr>
              <w:t>ob Isomoto, Standard III Co-Chair and Vice President, Business/Administration</w:t>
            </w:r>
          </w:p>
          <w:p w14:paraId="3CE84B73" w14:textId="5DE3464B" w:rsidR="00720091" w:rsidRPr="00C11872" w:rsidRDefault="00720091" w:rsidP="00355ABC">
            <w:pPr>
              <w:rPr>
                <w:rFonts w:asciiTheme="majorHAnsi" w:hAnsiTheme="majorHAnsi"/>
                <w:b/>
                <w:sz w:val="23"/>
                <w:szCs w:val="23"/>
              </w:rPr>
            </w:pPr>
            <w:r w:rsidRPr="00C11872">
              <w:rPr>
                <w:rFonts w:asciiTheme="majorHAnsi" w:hAnsiTheme="majorHAnsi"/>
                <w:b/>
                <w:sz w:val="23"/>
                <w:szCs w:val="23"/>
              </w:rPr>
              <w:t>Standard IIIA: Human Resources</w:t>
            </w:r>
          </w:p>
          <w:p w14:paraId="2D35AB89" w14:textId="746DED62" w:rsidR="00720091" w:rsidRPr="003D3B77" w:rsidRDefault="00720091" w:rsidP="00355ABC">
            <w:pPr>
              <w:pStyle w:val="ListParagraph"/>
              <w:numPr>
                <w:ilvl w:val="0"/>
                <w:numId w:val="16"/>
              </w:numPr>
              <w:tabs>
                <w:tab w:val="right" w:pos="8910"/>
              </w:tabs>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 xml:space="preserve">Melody Nightingale, </w:t>
            </w:r>
            <w:r w:rsidRPr="003D3B77">
              <w:rPr>
                <w:rFonts w:asciiTheme="majorHAnsi" w:hAnsiTheme="majorHAnsi"/>
                <w:sz w:val="23"/>
                <w:szCs w:val="23"/>
              </w:rPr>
              <w:t>Standard IIIA</w:t>
            </w:r>
            <w:r w:rsidRPr="003D3B77">
              <w:rPr>
                <w:rFonts w:asciiTheme="majorHAnsi" w:eastAsiaTheme="minorHAnsi" w:hAnsiTheme="majorHAnsi"/>
                <w:sz w:val="23"/>
                <w:szCs w:val="23"/>
              </w:rPr>
              <w:t xml:space="preserve"> Co-Chair and Faculty Member/Department Chair, ESL</w:t>
            </w:r>
          </w:p>
          <w:p w14:paraId="7F026FD2" w14:textId="0A522EA3" w:rsidR="00720091" w:rsidRPr="003D3B77" w:rsidRDefault="00720091" w:rsidP="00355ABC">
            <w:pPr>
              <w:pStyle w:val="ListParagraph"/>
              <w:numPr>
                <w:ilvl w:val="0"/>
                <w:numId w:val="16"/>
              </w:numPr>
              <w:tabs>
                <w:tab w:val="right" w:pos="8910"/>
              </w:tabs>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 xml:space="preserve">Kelly Brayton, </w:t>
            </w:r>
            <w:r w:rsidRPr="003D3B77">
              <w:rPr>
                <w:rFonts w:asciiTheme="majorHAnsi" w:hAnsiTheme="majorHAnsi"/>
                <w:sz w:val="23"/>
                <w:szCs w:val="23"/>
              </w:rPr>
              <w:t>Standard IIIA</w:t>
            </w:r>
            <w:r w:rsidRPr="003D3B77">
              <w:rPr>
                <w:rFonts w:asciiTheme="majorHAnsi" w:eastAsiaTheme="minorHAnsi" w:hAnsiTheme="majorHAnsi"/>
                <w:sz w:val="23"/>
                <w:szCs w:val="23"/>
              </w:rPr>
              <w:t xml:space="preserve"> Co-Chair and Dean, International Education</w:t>
            </w:r>
          </w:p>
          <w:p w14:paraId="03B7F6BE" w14:textId="0C4E82F8" w:rsidR="00720091" w:rsidRPr="00C11872" w:rsidRDefault="00720091" w:rsidP="00355ABC">
            <w:pPr>
              <w:rPr>
                <w:rFonts w:asciiTheme="majorHAnsi" w:hAnsiTheme="majorHAnsi"/>
                <w:b/>
                <w:sz w:val="23"/>
                <w:szCs w:val="23"/>
              </w:rPr>
            </w:pPr>
            <w:r w:rsidRPr="00C11872">
              <w:rPr>
                <w:rFonts w:asciiTheme="majorHAnsi" w:hAnsiTheme="majorHAnsi"/>
                <w:b/>
                <w:sz w:val="23"/>
                <w:szCs w:val="23"/>
              </w:rPr>
              <w:t>Standard IIIB: Physical Resources</w:t>
            </w:r>
          </w:p>
          <w:p w14:paraId="06E69BC8" w14:textId="640E3DDC" w:rsidR="00720091" w:rsidRPr="003D3B77" w:rsidRDefault="00720091" w:rsidP="00355ABC">
            <w:pPr>
              <w:pStyle w:val="ListParagraph"/>
              <w:numPr>
                <w:ilvl w:val="0"/>
                <w:numId w:val="16"/>
              </w:numPr>
              <w:tabs>
                <w:tab w:val="right" w:pos="8910"/>
              </w:tabs>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Laura Manson, Co-Chair and Faculty Member/Department Chair, Early Childhood Education</w:t>
            </w:r>
          </w:p>
          <w:p w14:paraId="57F2FEBA" w14:textId="71F6000C" w:rsidR="00720091" w:rsidRPr="003D3B77" w:rsidRDefault="00720091" w:rsidP="00355ABC">
            <w:pPr>
              <w:pStyle w:val="ListParagraph"/>
              <w:numPr>
                <w:ilvl w:val="0"/>
                <w:numId w:val="16"/>
              </w:numPr>
              <w:tabs>
                <w:tab w:val="right" w:pos="8910"/>
              </w:tabs>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Patricia Ramos, Co-Chair and Dean, Workforce Development</w:t>
            </w:r>
          </w:p>
          <w:p w14:paraId="27DB9AFF" w14:textId="01C0014D" w:rsidR="00720091" w:rsidRPr="00C11872" w:rsidRDefault="00720091" w:rsidP="00355ABC">
            <w:pPr>
              <w:rPr>
                <w:rFonts w:asciiTheme="majorHAnsi" w:hAnsiTheme="majorHAnsi"/>
                <w:b/>
                <w:sz w:val="23"/>
                <w:szCs w:val="23"/>
              </w:rPr>
            </w:pPr>
            <w:r w:rsidRPr="00C11872">
              <w:rPr>
                <w:rFonts w:asciiTheme="majorHAnsi" w:hAnsiTheme="majorHAnsi"/>
                <w:b/>
                <w:sz w:val="23"/>
                <w:szCs w:val="23"/>
              </w:rPr>
              <w:t>Standard IIIC: Technology Resources</w:t>
            </w:r>
          </w:p>
          <w:p w14:paraId="0A189366" w14:textId="5C77312F" w:rsidR="00720091" w:rsidRPr="003D3B77" w:rsidRDefault="00720091" w:rsidP="00355ABC">
            <w:pPr>
              <w:pStyle w:val="ListParagraph"/>
              <w:numPr>
                <w:ilvl w:val="0"/>
                <w:numId w:val="16"/>
              </w:numPr>
              <w:tabs>
                <w:tab w:val="right" w:pos="8910"/>
              </w:tabs>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Jamie Cavenaugh, Standard IIIC Co-Chair and Faculty Member, Design Technology</w:t>
            </w:r>
          </w:p>
          <w:p w14:paraId="6BDB5BBC" w14:textId="0FE32B50" w:rsidR="00720091" w:rsidRPr="003D3B77" w:rsidRDefault="00720091" w:rsidP="00355ABC">
            <w:pPr>
              <w:pStyle w:val="ListParagraph"/>
              <w:numPr>
                <w:ilvl w:val="0"/>
                <w:numId w:val="16"/>
              </w:numPr>
              <w:tabs>
                <w:tab w:val="right" w:pos="8910"/>
              </w:tabs>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Lee Johnston, Standard IIIC Co-Chair and former Director, Management Information Systems</w:t>
            </w:r>
          </w:p>
          <w:p w14:paraId="7865BD2D" w14:textId="699AD4EB" w:rsidR="00720091" w:rsidRPr="00C11872" w:rsidRDefault="00720091" w:rsidP="00355ABC">
            <w:pPr>
              <w:rPr>
                <w:rFonts w:asciiTheme="majorHAnsi" w:hAnsiTheme="majorHAnsi"/>
                <w:b/>
                <w:sz w:val="23"/>
                <w:szCs w:val="23"/>
              </w:rPr>
            </w:pPr>
            <w:r w:rsidRPr="00C11872">
              <w:rPr>
                <w:rFonts w:asciiTheme="majorHAnsi" w:hAnsiTheme="majorHAnsi"/>
                <w:b/>
                <w:sz w:val="23"/>
                <w:szCs w:val="23"/>
              </w:rPr>
              <w:t>Standard IIID: Financial Resources</w:t>
            </w:r>
          </w:p>
          <w:p w14:paraId="0EDE4FF9" w14:textId="1E1E2C6E" w:rsidR="00720091" w:rsidRPr="003D3B77" w:rsidRDefault="00720091" w:rsidP="00355ABC">
            <w:pPr>
              <w:pStyle w:val="ListParagraph"/>
              <w:numPr>
                <w:ilvl w:val="0"/>
                <w:numId w:val="16"/>
              </w:numPr>
              <w:tabs>
                <w:tab w:val="right" w:pos="8910"/>
              </w:tabs>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Terry Bernstein, Standard IIID Co-Chair and Faculty Member, Business (retired)</w:t>
            </w:r>
          </w:p>
          <w:p w14:paraId="6E101897" w14:textId="1573AAC9" w:rsidR="00720091" w:rsidRPr="003D3B77" w:rsidRDefault="00720091" w:rsidP="00355ABC">
            <w:pPr>
              <w:pStyle w:val="ListParagraph"/>
              <w:numPr>
                <w:ilvl w:val="0"/>
                <w:numId w:val="16"/>
              </w:numPr>
              <w:tabs>
                <w:tab w:val="right" w:pos="8910"/>
              </w:tabs>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Kiersten Elliott, Standard IIID Co-Chair, Dean, Community and Academic Relations</w:t>
            </w:r>
          </w:p>
        </w:tc>
      </w:tr>
      <w:tr w:rsidR="00720091" w14:paraId="2B0607A2" w14:textId="77777777" w:rsidTr="00D30BD7">
        <w:tc>
          <w:tcPr>
            <w:tcW w:w="9198" w:type="dxa"/>
          </w:tcPr>
          <w:p w14:paraId="794AA7E3" w14:textId="578040AB" w:rsidR="00720091" w:rsidRPr="00C11872" w:rsidRDefault="00720091" w:rsidP="00355ABC">
            <w:pPr>
              <w:rPr>
                <w:rFonts w:asciiTheme="majorHAnsi" w:hAnsiTheme="majorHAnsi"/>
                <w:b/>
                <w:sz w:val="23"/>
                <w:szCs w:val="23"/>
              </w:rPr>
            </w:pPr>
            <w:r w:rsidRPr="00C11872">
              <w:rPr>
                <w:rFonts w:asciiTheme="majorHAnsi" w:hAnsiTheme="majorHAnsi"/>
                <w:b/>
                <w:sz w:val="23"/>
                <w:szCs w:val="23"/>
              </w:rPr>
              <w:t>Standard IV: Leadership and Governance</w:t>
            </w:r>
          </w:p>
          <w:p w14:paraId="4070862A" w14:textId="1273E819" w:rsidR="00720091" w:rsidRPr="003D3B77" w:rsidRDefault="00720091" w:rsidP="00355ABC">
            <w:pPr>
              <w:pStyle w:val="ListParagraph"/>
              <w:numPr>
                <w:ilvl w:val="0"/>
                <w:numId w:val="16"/>
              </w:numPr>
              <w:tabs>
                <w:tab w:val="right" w:pos="8910"/>
              </w:tabs>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Richard Tahvildaran, Standard IV Co-Chair, and Faculty Member, Philosophy and Social Science</w:t>
            </w:r>
          </w:p>
          <w:p w14:paraId="70620DE1" w14:textId="77777777" w:rsidR="00720091" w:rsidRPr="003D3B77" w:rsidRDefault="00720091" w:rsidP="00355ABC">
            <w:pPr>
              <w:pStyle w:val="ListParagraph"/>
              <w:numPr>
                <w:ilvl w:val="0"/>
                <w:numId w:val="16"/>
              </w:numPr>
              <w:tabs>
                <w:tab w:val="right" w:pos="8910"/>
              </w:tabs>
              <w:spacing w:line="240" w:lineRule="auto"/>
              <w:rPr>
                <w:rFonts w:asciiTheme="majorHAnsi" w:hAnsiTheme="majorHAnsi"/>
                <w:sz w:val="23"/>
                <w:szCs w:val="23"/>
              </w:rPr>
            </w:pPr>
            <w:r w:rsidRPr="003D3B77">
              <w:rPr>
                <w:rFonts w:asciiTheme="majorHAnsi" w:eastAsiaTheme="minorHAnsi" w:hAnsiTheme="majorHAnsi"/>
                <w:sz w:val="23"/>
                <w:szCs w:val="23"/>
              </w:rPr>
              <w:t>Te</w:t>
            </w:r>
            <w:r w:rsidRPr="003D3B77">
              <w:rPr>
                <w:rFonts w:asciiTheme="majorHAnsi" w:hAnsiTheme="majorHAnsi"/>
                <w:sz w:val="23"/>
                <w:szCs w:val="23"/>
              </w:rPr>
              <w:t>resita Rodriguez, Standard IV Co-Chair and Vice President, Enrollment Development</w:t>
            </w:r>
          </w:p>
          <w:p w14:paraId="3585C592" w14:textId="002125A8" w:rsidR="00720091" w:rsidRPr="00C11872" w:rsidRDefault="00720091" w:rsidP="00355ABC">
            <w:pPr>
              <w:rPr>
                <w:rFonts w:asciiTheme="majorHAnsi" w:hAnsiTheme="majorHAnsi"/>
                <w:b/>
                <w:sz w:val="23"/>
                <w:szCs w:val="23"/>
              </w:rPr>
            </w:pPr>
            <w:r w:rsidRPr="00C11872">
              <w:rPr>
                <w:rFonts w:asciiTheme="majorHAnsi" w:hAnsiTheme="majorHAnsi"/>
                <w:b/>
                <w:sz w:val="23"/>
                <w:szCs w:val="23"/>
              </w:rPr>
              <w:t>Standard IVA</w:t>
            </w:r>
            <w:r>
              <w:rPr>
                <w:rFonts w:asciiTheme="majorHAnsi" w:hAnsiTheme="majorHAnsi"/>
                <w:b/>
                <w:sz w:val="23"/>
                <w:szCs w:val="23"/>
              </w:rPr>
              <w:t>: Decision Making Roles and Processes</w:t>
            </w:r>
          </w:p>
          <w:p w14:paraId="3AB5D5C9" w14:textId="38755B73" w:rsidR="00720091" w:rsidRPr="003D3B77" w:rsidRDefault="00720091" w:rsidP="00355ABC">
            <w:pPr>
              <w:pStyle w:val="ListParagraph"/>
              <w:numPr>
                <w:ilvl w:val="0"/>
                <w:numId w:val="16"/>
              </w:numPr>
              <w:tabs>
                <w:tab w:val="right" w:pos="8910"/>
              </w:tabs>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Lucy Kluckholn, Standard IV Co-Chair and Faculty Member, Life Sciences (retired)</w:t>
            </w:r>
          </w:p>
          <w:p w14:paraId="6CD74ED7" w14:textId="633E971D" w:rsidR="00720091" w:rsidRPr="003D3B77" w:rsidRDefault="00720091" w:rsidP="00355ABC">
            <w:pPr>
              <w:pStyle w:val="ListParagraph"/>
              <w:numPr>
                <w:ilvl w:val="0"/>
                <w:numId w:val="16"/>
              </w:numPr>
              <w:tabs>
                <w:tab w:val="right" w:pos="8910"/>
              </w:tabs>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Sherri Lee-Lewis, Standard IV Co-Chair and Dean, Human Resources</w:t>
            </w:r>
          </w:p>
          <w:p w14:paraId="3E5F1F67" w14:textId="447C878D" w:rsidR="00720091" w:rsidRPr="00C11872" w:rsidRDefault="00720091" w:rsidP="00355ABC">
            <w:pPr>
              <w:rPr>
                <w:rFonts w:asciiTheme="majorHAnsi" w:hAnsiTheme="majorHAnsi"/>
                <w:b/>
                <w:sz w:val="23"/>
                <w:szCs w:val="23"/>
              </w:rPr>
            </w:pPr>
            <w:r w:rsidRPr="00C11872">
              <w:rPr>
                <w:rFonts w:asciiTheme="majorHAnsi" w:hAnsiTheme="majorHAnsi"/>
                <w:b/>
                <w:sz w:val="23"/>
                <w:szCs w:val="23"/>
              </w:rPr>
              <w:t>Standard IVB and IVC: Chief Executive Officer and Governing Board</w:t>
            </w:r>
          </w:p>
          <w:p w14:paraId="5E34682F" w14:textId="2ACEAFE1" w:rsidR="00720091" w:rsidRPr="003D3B77" w:rsidRDefault="00720091" w:rsidP="00355ABC">
            <w:pPr>
              <w:pStyle w:val="ListParagraph"/>
              <w:numPr>
                <w:ilvl w:val="0"/>
                <w:numId w:val="16"/>
              </w:numPr>
              <w:tabs>
                <w:tab w:val="right" w:pos="8910"/>
              </w:tabs>
              <w:spacing w:line="240" w:lineRule="auto"/>
              <w:rPr>
                <w:rFonts w:asciiTheme="majorHAnsi" w:eastAsiaTheme="minorHAnsi" w:hAnsiTheme="majorHAnsi"/>
                <w:sz w:val="23"/>
                <w:szCs w:val="23"/>
              </w:rPr>
            </w:pPr>
            <w:r w:rsidRPr="003D3B77">
              <w:rPr>
                <w:rFonts w:asciiTheme="majorHAnsi" w:eastAsiaTheme="minorHAnsi" w:hAnsiTheme="majorHAnsi"/>
                <w:sz w:val="23"/>
                <w:szCs w:val="23"/>
              </w:rPr>
              <w:t>Guido Davis Del Piccolo, Standard IVB&amp;C Co-Chair and Faculty Member, Philosophy and Social Sciences</w:t>
            </w:r>
          </w:p>
          <w:p w14:paraId="5BAA3026" w14:textId="7A92A038" w:rsidR="00720091" w:rsidRPr="003D3B77" w:rsidRDefault="00720091" w:rsidP="00355ABC">
            <w:pPr>
              <w:pStyle w:val="ListParagraph"/>
              <w:numPr>
                <w:ilvl w:val="0"/>
                <w:numId w:val="16"/>
              </w:numPr>
              <w:tabs>
                <w:tab w:val="right" w:pos="8910"/>
              </w:tabs>
              <w:spacing w:line="240" w:lineRule="auto"/>
              <w:rPr>
                <w:rFonts w:asciiTheme="majorHAnsi" w:hAnsiTheme="majorHAnsi"/>
                <w:sz w:val="23"/>
                <w:szCs w:val="23"/>
              </w:rPr>
            </w:pPr>
            <w:r w:rsidRPr="003D3B77">
              <w:rPr>
                <w:rFonts w:asciiTheme="majorHAnsi" w:eastAsiaTheme="minorHAnsi" w:hAnsiTheme="majorHAnsi"/>
                <w:sz w:val="23"/>
                <w:szCs w:val="23"/>
              </w:rPr>
              <w:t>Marcy Wade, Standard IVB&amp;C Co-Chair and Vice President, Human Resources</w:t>
            </w:r>
          </w:p>
        </w:tc>
      </w:tr>
    </w:tbl>
    <w:p w14:paraId="043FC65A" w14:textId="30EDA19C" w:rsidR="00720091" w:rsidRPr="00657B99" w:rsidRDefault="00720091" w:rsidP="003D3B77">
      <w:pPr>
        <w:pStyle w:val="ListParagraph"/>
        <w:tabs>
          <w:tab w:val="right" w:pos="8910"/>
        </w:tabs>
        <w:spacing w:line="240" w:lineRule="auto"/>
        <w:ind w:left="360"/>
        <w:rPr>
          <w:rFonts w:asciiTheme="majorHAnsi" w:hAnsiTheme="majorHAnsi"/>
          <w:sz w:val="20"/>
          <w:szCs w:val="24"/>
        </w:rPr>
      </w:pPr>
    </w:p>
    <w:p w14:paraId="4C6F0264" w14:textId="58E6AE2B" w:rsidR="00A45497" w:rsidRDefault="00A45497">
      <w:r>
        <w:br w:type="page"/>
      </w:r>
    </w:p>
    <w:p w14:paraId="24B4928C" w14:textId="4A8269BB" w:rsidR="00A45497" w:rsidRDefault="00DC7C37">
      <w:r>
        <w:rPr>
          <w:noProof/>
        </w:rPr>
        <w:lastRenderedPageBreak/>
        <w:object w:dxaOrig="1440" w:dyaOrig="1440" w14:anchorId="0EE4CA26">
          <v:shape id="_x0000_s1032" type="#_x0000_t75" style="position:absolute;margin-left:0;margin-top:0;width:87.25pt;height:98.45pt;z-index:251687424;mso-wrap-style:square;mso-width-percent:0;mso-height-percent:0;mso-left-percent:-10001;mso-top-percent:-10001;mso-wrap-distance-left:9pt;mso-wrap-distance-top:0;mso-wrap-distance-right:9pt;mso-wrap-distance-bottom:0;mso-position-horizontal:center;mso-position-horizontal-relative:text;mso-position-vertical:center;mso-position-vertical-relative:page;mso-width-percent:0;mso-height-percent:0;mso-left-percent:-10001;mso-top-percent:-10001;mso-width-relative:page;mso-height-relative:page;mso-position-horizontal-col-start:0;mso-width-col-span:0;v-text-anchor:top">
            <v:imagedata r:id="rId9" o:title="" croptop="4766f" cropbottom="3972f"/>
            <w10:wrap anchory="page"/>
          </v:shape>
          <o:OLEObject Type="Embed" ProgID="Acrobat.Document.11" ShapeID="_x0000_s1032" DrawAspect="Content" ObjectID="_1533576242" r:id="rId44"/>
        </w:object>
      </w:r>
      <w:r w:rsidR="00A45497">
        <w:br w:type="page"/>
      </w:r>
    </w:p>
    <w:p w14:paraId="3B8FB198" w14:textId="35A44D30" w:rsidR="00720091" w:rsidRPr="00EE335B" w:rsidRDefault="00720091" w:rsidP="00F84D44">
      <w:pPr>
        <w:pStyle w:val="Heading2"/>
      </w:pPr>
      <w:r>
        <w:lastRenderedPageBreak/>
        <w:t>Organizational Chart</w:t>
      </w:r>
    </w:p>
    <w:p w14:paraId="70E22AD3" w14:textId="7B31F0DE" w:rsidR="00720091" w:rsidRDefault="00A45497" w:rsidP="007E59C2">
      <w:pPr>
        <w:rPr>
          <w:rFonts w:cs="Times New Roman"/>
        </w:rPr>
      </w:pPr>
      <w:r>
        <w:rPr>
          <w:rFonts w:cs="Times New Roman"/>
          <w:noProof/>
        </w:rPr>
        <w:drawing>
          <wp:anchor distT="0" distB="0" distL="114300" distR="114300" simplePos="0" relativeHeight="251671040" behindDoc="1" locked="0" layoutInCell="1" allowOverlap="1" wp14:anchorId="7B2986D4" wp14:editId="61CEE2FB">
            <wp:simplePos x="0" y="0"/>
            <wp:positionH relativeFrom="margin">
              <wp:posOffset>-1439545</wp:posOffset>
            </wp:positionH>
            <wp:positionV relativeFrom="margin">
              <wp:posOffset>1997710</wp:posOffset>
            </wp:positionV>
            <wp:extent cx="7730490" cy="4636770"/>
            <wp:effectExtent l="3810" t="0" r="762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OrgCharts.01_Page_2.jpg"/>
                    <pic:cNvPicPr/>
                  </pic:nvPicPr>
                  <pic:blipFill rotWithShape="1">
                    <a:blip r:embed="rId45">
                      <a:extLst>
                        <a:ext uri="{28A0092B-C50C-407E-A947-70E740481C1C}">
                          <a14:useLocalDpi xmlns:a14="http://schemas.microsoft.com/office/drawing/2010/main" val="0"/>
                        </a:ext>
                      </a:extLst>
                    </a:blip>
                    <a:srcRect l="6502" t="87" r="4119" b="30514"/>
                    <a:stretch/>
                  </pic:blipFill>
                  <pic:spPr bwMode="auto">
                    <a:xfrm rot="16200000">
                      <a:off x="0" y="0"/>
                      <a:ext cx="7730490" cy="463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08A677" w14:textId="4E09F0E3" w:rsidR="00720091" w:rsidRDefault="00720091" w:rsidP="00D61972">
      <w:pPr>
        <w:pStyle w:val="Heading1"/>
        <w:rPr>
          <w:rFonts w:cs="Times New Roman"/>
        </w:rPr>
      </w:pPr>
      <w:r>
        <w:rPr>
          <w:rFonts w:cs="Times New Roman"/>
          <w:noProof/>
        </w:rPr>
        <w:lastRenderedPageBreak/>
        <w:drawing>
          <wp:anchor distT="0" distB="0" distL="114300" distR="114300" simplePos="0" relativeHeight="251672064" behindDoc="1" locked="0" layoutInCell="1" allowOverlap="1" wp14:anchorId="5D193706" wp14:editId="15E2B463">
            <wp:simplePos x="0" y="0"/>
            <wp:positionH relativeFrom="margin">
              <wp:posOffset>-884555</wp:posOffset>
            </wp:positionH>
            <wp:positionV relativeFrom="margin">
              <wp:posOffset>882015</wp:posOffset>
            </wp:positionV>
            <wp:extent cx="8059420" cy="6294755"/>
            <wp:effectExtent l="6032" t="0" r="4763" b="4762"/>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OrgCharts.01_Page_3.jpg"/>
                    <pic:cNvPicPr/>
                  </pic:nvPicPr>
                  <pic:blipFill rotWithShape="1">
                    <a:blip r:embed="rId46">
                      <a:extLst>
                        <a:ext uri="{28A0092B-C50C-407E-A947-70E740481C1C}">
                          <a14:useLocalDpi xmlns:a14="http://schemas.microsoft.com/office/drawing/2010/main" val="0"/>
                        </a:ext>
                      </a:extLst>
                    </a:blip>
                    <a:srcRect l="6930" r="2723" b="8664"/>
                    <a:stretch/>
                  </pic:blipFill>
                  <pic:spPr bwMode="auto">
                    <a:xfrm rot="16200000">
                      <a:off x="0" y="0"/>
                      <a:ext cx="8059420" cy="6294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E6F79A" w14:textId="05EAA401" w:rsidR="00720091" w:rsidRDefault="00720091" w:rsidP="00D61972">
      <w:pPr>
        <w:pStyle w:val="Heading1"/>
        <w:rPr>
          <w:rFonts w:cs="Times New Roman"/>
        </w:rPr>
      </w:pPr>
      <w:r>
        <w:rPr>
          <w:rFonts w:cs="Times New Roman"/>
          <w:noProof/>
        </w:rPr>
        <w:lastRenderedPageBreak/>
        <w:drawing>
          <wp:anchor distT="0" distB="0" distL="114300" distR="114300" simplePos="0" relativeHeight="251673088" behindDoc="0" locked="0" layoutInCell="1" allowOverlap="1" wp14:anchorId="3078764A" wp14:editId="6445894C">
            <wp:simplePos x="0" y="0"/>
            <wp:positionH relativeFrom="margin">
              <wp:posOffset>-1106170</wp:posOffset>
            </wp:positionH>
            <wp:positionV relativeFrom="margin">
              <wp:posOffset>1039495</wp:posOffset>
            </wp:positionV>
            <wp:extent cx="8199120" cy="598932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OrgCharts.01_Page_4.jpg"/>
                    <pic:cNvPicPr/>
                  </pic:nvPicPr>
                  <pic:blipFill rotWithShape="1">
                    <a:blip r:embed="rId47">
                      <a:extLst>
                        <a:ext uri="{28A0092B-C50C-407E-A947-70E740481C1C}">
                          <a14:useLocalDpi xmlns:a14="http://schemas.microsoft.com/office/drawing/2010/main" val="0"/>
                        </a:ext>
                      </a:extLst>
                    </a:blip>
                    <a:srcRect l="4894" r="5319" b="15113"/>
                    <a:stretch/>
                  </pic:blipFill>
                  <pic:spPr bwMode="auto">
                    <a:xfrm rot="16200000">
                      <a:off x="0" y="0"/>
                      <a:ext cx="8199120" cy="5989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6157FE" w14:textId="28B6D663" w:rsidR="00720091" w:rsidRDefault="00720091" w:rsidP="00D61972">
      <w:pPr>
        <w:pStyle w:val="Heading1"/>
        <w:rPr>
          <w:rFonts w:cs="Times New Roman"/>
        </w:rPr>
      </w:pPr>
    </w:p>
    <w:p w14:paraId="6413A9EF" w14:textId="3B21BD4D" w:rsidR="00720091" w:rsidRDefault="00720091" w:rsidP="00D61972">
      <w:pPr>
        <w:pStyle w:val="Heading1"/>
        <w:rPr>
          <w:rFonts w:cs="Times New Roman"/>
        </w:rPr>
      </w:pPr>
      <w:r>
        <w:rPr>
          <w:rFonts w:cs="Times New Roman"/>
          <w:noProof/>
        </w:rPr>
        <w:drawing>
          <wp:anchor distT="0" distB="0" distL="114300" distR="114300" simplePos="0" relativeHeight="251674112" behindDoc="1" locked="0" layoutInCell="1" allowOverlap="1" wp14:anchorId="7EAD9F61" wp14:editId="228A24E9">
            <wp:simplePos x="0" y="0"/>
            <wp:positionH relativeFrom="margin">
              <wp:posOffset>-1762125</wp:posOffset>
            </wp:positionH>
            <wp:positionV relativeFrom="margin">
              <wp:posOffset>1494155</wp:posOffset>
            </wp:positionV>
            <wp:extent cx="8589010" cy="5069205"/>
            <wp:effectExtent l="7302"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OrgCharts.01_Page_5.jpg"/>
                    <pic:cNvPicPr/>
                  </pic:nvPicPr>
                  <pic:blipFill rotWithShape="1">
                    <a:blip r:embed="rId48">
                      <a:extLst>
                        <a:ext uri="{28A0092B-C50C-407E-A947-70E740481C1C}">
                          <a14:useLocalDpi xmlns:a14="http://schemas.microsoft.com/office/drawing/2010/main" val="0"/>
                        </a:ext>
                      </a:extLst>
                    </a:blip>
                    <a:srcRect b="23621"/>
                    <a:stretch/>
                  </pic:blipFill>
                  <pic:spPr bwMode="auto">
                    <a:xfrm rot="16200000">
                      <a:off x="0" y="0"/>
                      <a:ext cx="8589010" cy="506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E1AE9E" w14:textId="0D184FC1" w:rsidR="00720091" w:rsidRDefault="00720091" w:rsidP="00D61972">
      <w:pPr>
        <w:pStyle w:val="Heading1"/>
        <w:rPr>
          <w:rFonts w:cs="Times New Roman"/>
        </w:rPr>
      </w:pPr>
      <w:r>
        <w:rPr>
          <w:rFonts w:cs="Times New Roman"/>
          <w:noProof/>
        </w:rPr>
        <w:lastRenderedPageBreak/>
        <w:drawing>
          <wp:anchor distT="0" distB="0" distL="114300" distR="114300" simplePos="0" relativeHeight="251675136" behindDoc="1" locked="0" layoutInCell="1" allowOverlap="1" wp14:anchorId="7F44E8E1" wp14:editId="0FB12F07">
            <wp:simplePos x="0" y="0"/>
            <wp:positionH relativeFrom="margin">
              <wp:posOffset>-1242060</wp:posOffset>
            </wp:positionH>
            <wp:positionV relativeFrom="margin">
              <wp:posOffset>1375410</wp:posOffset>
            </wp:positionV>
            <wp:extent cx="8169910" cy="5687695"/>
            <wp:effectExtent l="2857" t="0" r="5398" b="5397"/>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OrgCharts.01_Page_6.jpg"/>
                    <pic:cNvPicPr/>
                  </pic:nvPicPr>
                  <pic:blipFill rotWithShape="1">
                    <a:blip r:embed="rId49">
                      <a:extLst>
                        <a:ext uri="{28A0092B-C50C-407E-A947-70E740481C1C}">
                          <a14:useLocalDpi xmlns:a14="http://schemas.microsoft.com/office/drawing/2010/main" val="0"/>
                        </a:ext>
                      </a:extLst>
                    </a:blip>
                    <a:srcRect r="8696" b="17740"/>
                    <a:stretch/>
                  </pic:blipFill>
                  <pic:spPr bwMode="auto">
                    <a:xfrm rot="16200000">
                      <a:off x="0" y="0"/>
                      <a:ext cx="8169910" cy="5687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A2CA31" w14:textId="36D9617A" w:rsidR="00720091" w:rsidRDefault="00720091" w:rsidP="00D61972">
      <w:pPr>
        <w:pStyle w:val="Heading1"/>
        <w:rPr>
          <w:rFonts w:cs="Times New Roman"/>
        </w:rPr>
      </w:pPr>
      <w:r>
        <w:rPr>
          <w:rFonts w:cs="Times New Roman"/>
          <w:noProof/>
        </w:rPr>
        <w:lastRenderedPageBreak/>
        <w:drawing>
          <wp:anchor distT="0" distB="0" distL="114300" distR="114300" simplePos="0" relativeHeight="251676160" behindDoc="1" locked="0" layoutInCell="1" allowOverlap="1" wp14:anchorId="2EF38D82" wp14:editId="2F7595F1">
            <wp:simplePos x="0" y="0"/>
            <wp:positionH relativeFrom="margin">
              <wp:posOffset>-1117600</wp:posOffset>
            </wp:positionH>
            <wp:positionV relativeFrom="margin">
              <wp:posOffset>1287780</wp:posOffset>
            </wp:positionV>
            <wp:extent cx="8181340" cy="5967730"/>
            <wp:effectExtent l="1905"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OrgCharts.01_Page_7.jpg"/>
                    <pic:cNvPicPr/>
                  </pic:nvPicPr>
                  <pic:blipFill rotWithShape="1">
                    <a:blip r:embed="rId50">
                      <a:extLst>
                        <a:ext uri="{28A0092B-C50C-407E-A947-70E740481C1C}">
                          <a14:useLocalDpi xmlns:a14="http://schemas.microsoft.com/office/drawing/2010/main" val="0"/>
                        </a:ext>
                      </a:extLst>
                    </a:blip>
                    <a:srcRect r="3343" b="8743"/>
                    <a:stretch/>
                  </pic:blipFill>
                  <pic:spPr bwMode="auto">
                    <a:xfrm rot="16200000">
                      <a:off x="0" y="0"/>
                      <a:ext cx="8181340" cy="596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84D7F2" w14:textId="4C7D60F5" w:rsidR="00720091" w:rsidRDefault="00720091" w:rsidP="00D61972">
      <w:pPr>
        <w:pStyle w:val="Heading1"/>
        <w:rPr>
          <w:rFonts w:cs="Times New Roman"/>
        </w:rPr>
      </w:pPr>
      <w:r>
        <w:rPr>
          <w:rFonts w:cs="Times New Roman"/>
          <w:noProof/>
        </w:rPr>
        <w:lastRenderedPageBreak/>
        <w:drawing>
          <wp:anchor distT="0" distB="0" distL="114300" distR="114300" simplePos="0" relativeHeight="251677184" behindDoc="1" locked="0" layoutInCell="1" allowOverlap="1" wp14:anchorId="43F5C08E" wp14:editId="2CF8D50A">
            <wp:simplePos x="0" y="0"/>
            <wp:positionH relativeFrom="margin">
              <wp:posOffset>-887095</wp:posOffset>
            </wp:positionH>
            <wp:positionV relativeFrom="margin">
              <wp:posOffset>884555</wp:posOffset>
            </wp:positionV>
            <wp:extent cx="7783195" cy="6012815"/>
            <wp:effectExtent l="889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OrgCharts.01_Page_8.jpg"/>
                    <pic:cNvPicPr/>
                  </pic:nvPicPr>
                  <pic:blipFill>
                    <a:blip r:embed="rId51">
                      <a:extLst>
                        <a:ext uri="{28A0092B-C50C-407E-A947-70E740481C1C}">
                          <a14:useLocalDpi xmlns:a14="http://schemas.microsoft.com/office/drawing/2010/main" val="0"/>
                        </a:ext>
                      </a:extLst>
                    </a:blip>
                    <a:stretch>
                      <a:fillRect/>
                    </a:stretch>
                  </pic:blipFill>
                  <pic:spPr>
                    <a:xfrm rot="16200000">
                      <a:off x="0" y="0"/>
                      <a:ext cx="7783195" cy="6012815"/>
                    </a:xfrm>
                    <a:prstGeom prst="rect">
                      <a:avLst/>
                    </a:prstGeom>
                  </pic:spPr>
                </pic:pic>
              </a:graphicData>
            </a:graphic>
            <wp14:sizeRelH relativeFrom="margin">
              <wp14:pctWidth>0</wp14:pctWidth>
            </wp14:sizeRelH>
            <wp14:sizeRelV relativeFrom="margin">
              <wp14:pctHeight>0</wp14:pctHeight>
            </wp14:sizeRelV>
          </wp:anchor>
        </w:drawing>
      </w:r>
    </w:p>
    <w:p w14:paraId="1C459F1D" w14:textId="77777777" w:rsidR="00C202A7" w:rsidRDefault="00C202A7" w:rsidP="00D61972">
      <w:pPr>
        <w:pStyle w:val="Heading1"/>
        <w:rPr>
          <w:rFonts w:cs="Times New Roman"/>
        </w:rPr>
        <w:sectPr w:rsidR="00C202A7" w:rsidSect="00B2112C">
          <w:endnotePr>
            <w:numFmt w:val="decimal"/>
          </w:endnotePr>
          <w:type w:val="continuous"/>
          <w:pgSz w:w="12240" w:h="15840"/>
          <w:pgMar w:top="1440" w:right="1440" w:bottom="1440" w:left="1800" w:header="720" w:footer="720" w:gutter="0"/>
          <w:cols w:space="720"/>
          <w:docGrid w:linePitch="360"/>
        </w:sectPr>
      </w:pPr>
    </w:p>
    <w:p w14:paraId="33864714" w14:textId="671A38D2" w:rsidR="00C202A7" w:rsidRDefault="00DC7C37" w:rsidP="00D61972">
      <w:pPr>
        <w:pStyle w:val="Heading1"/>
        <w:rPr>
          <w:rFonts w:cs="Times New Roman"/>
        </w:rPr>
        <w:sectPr w:rsidR="00C202A7" w:rsidSect="00C202A7">
          <w:endnotePr>
            <w:numFmt w:val="decimal"/>
          </w:endnotePr>
          <w:pgSz w:w="12240" w:h="15840"/>
          <w:pgMar w:top="1440" w:right="1440" w:bottom="1440" w:left="1800" w:header="720" w:footer="720" w:gutter="0"/>
          <w:cols w:space="720"/>
          <w:docGrid w:linePitch="360"/>
        </w:sectPr>
      </w:pPr>
      <w:r>
        <w:rPr>
          <w:rFonts w:cs="Times New Roman"/>
          <w:noProof/>
        </w:rPr>
        <w:lastRenderedPageBreak/>
        <w:object w:dxaOrig="1440" w:dyaOrig="1440" w14:anchorId="0EE4CA26">
          <v:shape id="_x0000_s1033" type="#_x0000_t75" style="position:absolute;margin-left:0;margin-top:0;width:87.25pt;height:98.45pt;z-index:251688448;mso-wrap-style:square;mso-width-percent:0;mso-height-percent:0;mso-left-percent:-10001;mso-top-percent:-10001;mso-wrap-distance-left:9pt;mso-wrap-distance-top:0;mso-wrap-distance-right:9pt;mso-wrap-distance-bottom:0;mso-position-horizontal:center;mso-position-horizontal-relative:text;mso-position-vertical:center;mso-position-vertical-relative:page;mso-width-percent:0;mso-height-percent:0;mso-left-percent:-10001;mso-top-percent:-10001;mso-width-relative:page;mso-height-relative:page;mso-position-horizontal-col-start:0;mso-width-col-span:0;v-text-anchor:top">
            <v:imagedata r:id="rId9" o:title="" croptop="4766f" cropbottom="3972f"/>
            <w10:wrap anchory="page"/>
          </v:shape>
          <o:OLEObject Type="Embed" ProgID="Acrobat.Document.11" ShapeID="_x0000_s1033" DrawAspect="Content" ObjectID="_1533576243" r:id="rId52"/>
        </w:object>
      </w:r>
    </w:p>
    <w:p w14:paraId="775A087E" w14:textId="35F5D8AD" w:rsidR="00720091" w:rsidRPr="00EE335B" w:rsidRDefault="00720091" w:rsidP="00D61972">
      <w:pPr>
        <w:pStyle w:val="Heading1"/>
        <w:rPr>
          <w:rFonts w:cs="Times New Roman"/>
        </w:rPr>
      </w:pPr>
      <w:r w:rsidRPr="00EE335B">
        <w:rPr>
          <w:rFonts w:cs="Times New Roman"/>
        </w:rPr>
        <w:lastRenderedPageBreak/>
        <w:t xml:space="preserve">Eligibility Requirements 1- 5 for Accreditation </w:t>
      </w:r>
    </w:p>
    <w:p w14:paraId="6D8B916D" w14:textId="7671515A" w:rsidR="00720091" w:rsidRDefault="00720091" w:rsidP="008D5D3C">
      <w:pPr>
        <w:pStyle w:val="Heading3"/>
        <w:tabs>
          <w:tab w:val="left" w:pos="360"/>
        </w:tabs>
        <w:spacing w:after="0"/>
      </w:pPr>
      <w:r>
        <w:t>1.</w:t>
      </w:r>
      <w:r>
        <w:tab/>
      </w:r>
      <w:r w:rsidRPr="00EE335B">
        <w:t>Authority</w:t>
      </w:r>
    </w:p>
    <w:p w14:paraId="6C358382" w14:textId="380491AF" w:rsidR="00720091" w:rsidRPr="00EE335B" w:rsidRDefault="00720091" w:rsidP="00171587">
      <w:pPr>
        <w:pStyle w:val="Normalwithspacebetween"/>
      </w:pPr>
      <w:r w:rsidRPr="00EE335B">
        <w:t xml:space="preserve">Santa Monica College (SMC) is </w:t>
      </w:r>
      <w:r>
        <w:t xml:space="preserve">a public, two-year community college, one of 113 such institutions </w:t>
      </w:r>
      <w:r w:rsidRPr="00171587">
        <w:t>comprising</w:t>
      </w:r>
      <w:r>
        <w:t xml:space="preserve"> the California Community Colleges system and </w:t>
      </w:r>
      <w:hyperlink r:id="rId53" w:history="1">
        <w:r w:rsidRPr="00EC4246">
          <w:rPr>
            <w:rStyle w:val="Hyperlink"/>
          </w:rPr>
          <w:t>authorized by the State of California</w:t>
        </w:r>
      </w:hyperlink>
      <w:r>
        <w:t>.</w:t>
      </w:r>
      <w:r>
        <w:rPr>
          <w:rStyle w:val="EndnoteReference"/>
          <w:rFonts w:cs="Times New Roman"/>
        </w:rPr>
        <w:endnoteReference w:id="2"/>
      </w:r>
      <w:r>
        <w:t xml:space="preserve"> The College operates as an educational institution and awards degrees under the authority of the Board of Governors of the California Community Colleges and is locally governed by an elected Board of Trustees. The College</w:t>
      </w:r>
      <w:r w:rsidRPr="00EE335B">
        <w:t xml:space="preserve"> is authorized to operate as a post-secondary educational institution and to award degrees based on </w:t>
      </w:r>
      <w:hyperlink r:id="rId54" w:history="1">
        <w:r w:rsidRPr="00EC4246">
          <w:rPr>
            <w:rStyle w:val="Hyperlink"/>
          </w:rPr>
          <w:t>continuous accreditation</w:t>
        </w:r>
      </w:hyperlink>
      <w:r w:rsidRPr="00EE335B">
        <w:t xml:space="preserve"> by the Accrediting Commission for Community and Junior Colleges (ACCJC) of the Western Association of Schools and Colleges (WASC)</w:t>
      </w:r>
      <w:r>
        <w:t>.</w:t>
      </w:r>
      <w:r w:rsidRPr="00EE335B">
        <w:rPr>
          <w:rStyle w:val="EndnoteReference"/>
          <w:rFonts w:cs="Times New Roman"/>
        </w:rPr>
        <w:endnoteReference w:id="3"/>
      </w:r>
      <w:r w:rsidRPr="00EE335B">
        <w:t xml:space="preserve"> </w:t>
      </w:r>
    </w:p>
    <w:p w14:paraId="763284FA" w14:textId="773002FE" w:rsidR="00720091" w:rsidRDefault="00720091" w:rsidP="008D5D3C">
      <w:pPr>
        <w:pStyle w:val="Heading3"/>
        <w:tabs>
          <w:tab w:val="left" w:pos="360"/>
        </w:tabs>
        <w:spacing w:after="0"/>
      </w:pPr>
      <w:r>
        <w:t>2.</w:t>
      </w:r>
      <w:r>
        <w:tab/>
      </w:r>
      <w:r w:rsidRPr="00EE335B">
        <w:t>Operational Status</w:t>
      </w:r>
    </w:p>
    <w:p w14:paraId="1838ECBF" w14:textId="397075A7" w:rsidR="00720091" w:rsidRPr="00EE335B" w:rsidRDefault="00720091" w:rsidP="00171587">
      <w:pPr>
        <w:pStyle w:val="Normalwithspacebetween"/>
      </w:pPr>
      <w:r w:rsidRPr="00E73285">
        <w:t xml:space="preserve">In Fall 2014, Santa Monica College </w:t>
      </w:r>
      <w:r>
        <w:t>had a</w:t>
      </w:r>
      <w:r w:rsidRPr="00E73285">
        <w:t xml:space="preserve"> </w:t>
      </w:r>
      <w:hyperlink r:id="rId55" w:history="1">
        <w:r w:rsidRPr="00EC4246">
          <w:rPr>
            <w:rStyle w:val="Hyperlink"/>
          </w:rPr>
          <w:t>student headcount of 42,756</w:t>
        </w:r>
      </w:hyperlink>
      <w:r w:rsidRPr="00E73285">
        <w:t>, with approximately 4,740 student enroll</w:t>
      </w:r>
      <w:r>
        <w:t xml:space="preserve">ed in noncredit courses and 38,016 enrolled </w:t>
      </w:r>
      <w:r w:rsidRPr="00E73285">
        <w:t>in credit courses.</w:t>
      </w:r>
      <w:r>
        <w:rPr>
          <w:rStyle w:val="EndnoteReference"/>
          <w:rFonts w:cs="Times New Roman"/>
        </w:rPr>
        <w:endnoteReference w:id="4"/>
      </w:r>
      <w:r w:rsidRPr="00E73285">
        <w:t xml:space="preserve"> </w:t>
      </w:r>
      <w:r w:rsidRPr="00EE335B">
        <w:t xml:space="preserve">In the Fall of 2014, </w:t>
      </w:r>
      <w:r>
        <w:t xml:space="preserve">75.4% </w:t>
      </w:r>
      <w:r w:rsidRPr="00EE335B">
        <w:t xml:space="preserve">students declared their </w:t>
      </w:r>
      <w:hyperlink r:id="rId56" w:history="1">
        <w:r w:rsidRPr="00EC4246">
          <w:rPr>
            <w:rStyle w:val="Hyperlink"/>
          </w:rPr>
          <w:t>educational goal</w:t>
        </w:r>
      </w:hyperlink>
      <w:r w:rsidRPr="00EE335B">
        <w:t xml:space="preserve"> to </w:t>
      </w:r>
      <w:r>
        <w:t>be</w:t>
      </w:r>
      <w:r w:rsidRPr="00EE335B">
        <w:t xml:space="preserve"> transfer</w:t>
      </w:r>
      <w:r>
        <w:t>, Associate Degree, or a Certificate.</w:t>
      </w:r>
      <w:r>
        <w:rPr>
          <w:rStyle w:val="EndnoteReference"/>
          <w:rFonts w:cs="Times New Roman"/>
        </w:rPr>
        <w:endnoteReference w:id="5"/>
      </w:r>
      <w:r>
        <w:t xml:space="preserve"> </w:t>
      </w:r>
      <w:r w:rsidRPr="00EE335B">
        <w:t xml:space="preserve"> </w:t>
      </w:r>
      <w:r>
        <w:t xml:space="preserve">In Academic Year 2014-2015, the College </w:t>
      </w:r>
      <w:hyperlink r:id="rId57" w:history="1">
        <w:r w:rsidRPr="00EC4246">
          <w:rPr>
            <w:rStyle w:val="Hyperlink"/>
          </w:rPr>
          <w:t>awarded 2,222 Associate degrees</w:t>
        </w:r>
      </w:hyperlink>
      <w:r>
        <w:t>.</w:t>
      </w:r>
      <w:r>
        <w:rPr>
          <w:rStyle w:val="EndnoteReference"/>
          <w:rFonts w:cs="Times New Roman"/>
        </w:rPr>
        <w:endnoteReference w:id="6"/>
      </w:r>
    </w:p>
    <w:p w14:paraId="2459DFC6" w14:textId="1188A67D" w:rsidR="00720091" w:rsidRDefault="00720091" w:rsidP="008D5D3C">
      <w:pPr>
        <w:pStyle w:val="Heading3"/>
        <w:tabs>
          <w:tab w:val="left" w:pos="360"/>
        </w:tabs>
        <w:spacing w:after="0"/>
      </w:pPr>
      <w:r>
        <w:t>3.</w:t>
      </w:r>
      <w:r>
        <w:tab/>
      </w:r>
      <w:r w:rsidRPr="0096715C">
        <w:t>Degrees</w:t>
      </w:r>
    </w:p>
    <w:p w14:paraId="18063D7B" w14:textId="60589170" w:rsidR="00720091" w:rsidRDefault="00720091" w:rsidP="00171587">
      <w:pPr>
        <w:pStyle w:val="Normalwithspacebetween"/>
      </w:pPr>
      <w:r>
        <w:t xml:space="preserve">Santa Monica College offers approximately </w:t>
      </w:r>
      <w:hyperlink r:id="rId58" w:history="1">
        <w:r w:rsidRPr="00EC4246">
          <w:rPr>
            <w:rStyle w:val="Hyperlink"/>
          </w:rPr>
          <w:t>50 Associate of Arts and Associate of Science Degrees</w:t>
        </w:r>
      </w:hyperlink>
      <w:r>
        <w:t>.</w:t>
      </w:r>
      <w:r>
        <w:rPr>
          <w:rStyle w:val="EndnoteReference"/>
          <w:rFonts w:cs="Times New Roman"/>
        </w:rPr>
        <w:endnoteReference w:id="7"/>
      </w:r>
      <w:r>
        <w:t xml:space="preserve"> Additionally, the College offers </w:t>
      </w:r>
      <w:hyperlink r:id="rId59" w:history="1">
        <w:r w:rsidRPr="00EC4246">
          <w:rPr>
            <w:rStyle w:val="Hyperlink"/>
          </w:rPr>
          <w:t>15 state-approved Associate Degrees for Transfer</w:t>
        </w:r>
      </w:hyperlink>
      <w:r>
        <w:t xml:space="preserve"> to the CSU System.</w:t>
      </w:r>
      <w:r>
        <w:rPr>
          <w:rStyle w:val="EndnoteReference"/>
          <w:rFonts w:cs="Times New Roman"/>
        </w:rPr>
        <w:endnoteReference w:id="8"/>
      </w:r>
      <w:r>
        <w:t xml:space="preserve"> The college catalog lists </w:t>
      </w:r>
      <w:hyperlink r:id="rId60" w:history="1">
        <w:r w:rsidRPr="00EC4246">
          <w:rPr>
            <w:rStyle w:val="Hyperlink"/>
          </w:rPr>
          <w:t>all requirements for all Associate Degrees</w:t>
        </w:r>
      </w:hyperlink>
      <w:r>
        <w:t>.</w:t>
      </w:r>
      <w:r>
        <w:rPr>
          <w:rStyle w:val="EndnoteReference"/>
          <w:rFonts w:cs="Times New Roman"/>
        </w:rPr>
        <w:endnoteReference w:id="9"/>
      </w:r>
      <w:r>
        <w:t xml:space="preserve"> The Associate in Arts degrees and Associate in Science involve satisfactory completion of a minimum of 60 semester units with a “C” average or higher, including the semester units required in each area of emphasis and fulfillment of all </w:t>
      </w:r>
      <w:r w:rsidRPr="00B45CAF">
        <w:t>Santa Monica College</w:t>
      </w:r>
      <w:r>
        <w:t xml:space="preserve"> general education (GE) requirements, CSU GE, or IGETC. The Associate Degrees for Transfer require a minimum of 60 CSU-transferable semester units with an overall average grade of “C” or higher, 12 of these units must be completed at the College. Student enrolled full-time could complete the requirements in two academic years. During the 2014-2015 academic year 6,850 credit sections were offered.</w:t>
      </w:r>
    </w:p>
    <w:p w14:paraId="44F61367" w14:textId="7362ACFA" w:rsidR="00720091" w:rsidRDefault="00720091" w:rsidP="006A2974">
      <w:pPr>
        <w:pStyle w:val="Normalwithspacebetween"/>
      </w:pPr>
      <w:r>
        <w:lastRenderedPageBreak/>
        <w:t xml:space="preserve">The College submitted its </w:t>
      </w:r>
      <w:hyperlink r:id="rId61" w:history="1">
        <w:r w:rsidRPr="00FA7416">
          <w:rPr>
            <w:rStyle w:val="Hyperlink"/>
          </w:rPr>
          <w:t>Substantive Change Proposal</w:t>
        </w:r>
      </w:hyperlink>
      <w:r>
        <w:rPr>
          <w:rStyle w:val="EndnoteReference"/>
        </w:rPr>
        <w:endnoteReference w:id="10"/>
      </w:r>
      <w:r>
        <w:t xml:space="preserve"> and was </w:t>
      </w:r>
      <w:hyperlink r:id="rId62" w:history="1">
        <w:r w:rsidRPr="00FA7416">
          <w:rPr>
            <w:rStyle w:val="Hyperlink"/>
          </w:rPr>
          <w:t>recently granted initial accreditation</w:t>
        </w:r>
      </w:hyperlink>
      <w:r>
        <w:rPr>
          <w:rStyle w:val="EndnoteReference"/>
        </w:rPr>
        <w:endnoteReference w:id="11"/>
      </w:r>
      <w:r>
        <w:t xml:space="preserve"> from the ACCJC for its baccalaureate degree in Interaction Design (IxD).  The </w:t>
      </w:r>
      <w:r w:rsidR="00FA7416">
        <w:t xml:space="preserve">degree requires the completion of 120 units and the </w:t>
      </w:r>
      <w:r>
        <w:t xml:space="preserve">length of the proposed program for a full-time student is four years. </w:t>
      </w:r>
    </w:p>
    <w:p w14:paraId="525589A9" w14:textId="5310FABA" w:rsidR="00720091" w:rsidRDefault="00720091" w:rsidP="008D5D3C">
      <w:pPr>
        <w:pStyle w:val="Heading3"/>
        <w:tabs>
          <w:tab w:val="left" w:pos="360"/>
        </w:tabs>
        <w:spacing w:after="0"/>
      </w:pPr>
      <w:r>
        <w:t>4.</w:t>
      </w:r>
      <w:r>
        <w:tab/>
      </w:r>
      <w:r w:rsidRPr="00EE335B">
        <w:t>Chief Executive Officer</w:t>
      </w:r>
    </w:p>
    <w:p w14:paraId="4A518C58" w14:textId="0C5D0B03" w:rsidR="00720091" w:rsidRDefault="00720091" w:rsidP="00171587">
      <w:pPr>
        <w:pStyle w:val="Normalwithspacebetween"/>
      </w:pPr>
      <w:r>
        <w:t xml:space="preserve">The </w:t>
      </w:r>
      <w:r w:rsidRPr="003A7C14">
        <w:t>Santa Monica College</w:t>
      </w:r>
      <w:r>
        <w:t xml:space="preserve"> District Board of Trustees has the responsibility for </w:t>
      </w:r>
      <w:hyperlink r:id="rId63" w:history="1">
        <w:r w:rsidRPr="00FA7416">
          <w:rPr>
            <w:rStyle w:val="Hyperlink"/>
          </w:rPr>
          <w:t>hiring</w:t>
        </w:r>
      </w:hyperlink>
      <w:r>
        <w:rPr>
          <w:rStyle w:val="EndnoteReference"/>
          <w:rFonts w:cs="Times New Roman"/>
        </w:rPr>
        <w:endnoteReference w:id="12"/>
      </w:r>
      <w:r>
        <w:t xml:space="preserve"> and </w:t>
      </w:r>
      <w:hyperlink r:id="rId64" w:history="1">
        <w:r w:rsidRPr="00FA7416">
          <w:rPr>
            <w:rStyle w:val="Hyperlink"/>
          </w:rPr>
          <w:t>evaluating</w:t>
        </w:r>
      </w:hyperlink>
      <w:r>
        <w:rPr>
          <w:rStyle w:val="EndnoteReference"/>
          <w:rFonts w:cs="Times New Roman"/>
        </w:rPr>
        <w:endnoteReference w:id="13"/>
      </w:r>
      <w:r>
        <w:t xml:space="preserve"> the Chief Executive Officer of the College and delegates full authority to the Superintendent/President to administer Board Policy and to oversee the general operations of the institution. The College’s Board of Trustees appointed </w:t>
      </w:r>
      <w:hyperlink r:id="rId65" w:history="1">
        <w:r w:rsidRPr="00FA7416">
          <w:rPr>
            <w:rStyle w:val="Hyperlink"/>
          </w:rPr>
          <w:t>Dr. Kathryn E. Jeffery</w:t>
        </w:r>
      </w:hyperlink>
      <w:r>
        <w:rPr>
          <w:rStyle w:val="EndnoteReference"/>
          <w:rFonts w:cs="Times New Roman"/>
        </w:rPr>
        <w:endnoteReference w:id="14"/>
      </w:r>
      <w:r>
        <w:t xml:space="preserve"> as the College’s Superintendent/President, on </w:t>
      </w:r>
      <w:hyperlink r:id="rId66" w:history="1">
        <w:r w:rsidRPr="00FA7416">
          <w:rPr>
            <w:rStyle w:val="Hyperlink"/>
          </w:rPr>
          <w:t>November 17, 2015</w:t>
        </w:r>
      </w:hyperlink>
      <w:r>
        <w:t>.</w:t>
      </w:r>
      <w:r>
        <w:rPr>
          <w:rStyle w:val="EndnoteReference"/>
          <w:rFonts w:cs="Times New Roman"/>
        </w:rPr>
        <w:endnoteReference w:id="15"/>
      </w:r>
      <w:r>
        <w:t xml:space="preserve"> Dr. Jeffery took office in February 2016. The Superintendent/President is the chief executive officer of the College, whose </w:t>
      </w:r>
      <w:hyperlink r:id="rId67" w:history="1">
        <w:r w:rsidRPr="00634B8C">
          <w:rPr>
            <w:rStyle w:val="Hyperlink"/>
          </w:rPr>
          <w:t>full-time responsibility is to the institution</w:t>
        </w:r>
      </w:hyperlink>
      <w:r w:rsidR="00634B8C">
        <w:rPr>
          <w:rStyle w:val="EndnoteReference"/>
        </w:rPr>
        <w:endnoteReference w:id="16"/>
      </w:r>
      <w:r>
        <w:t xml:space="preserve">. The Superintendent/President does not serve as the chair of the governing board but does serve as </w:t>
      </w:r>
      <w:hyperlink r:id="rId68" w:history="1">
        <w:r w:rsidRPr="00FA7416">
          <w:rPr>
            <w:rStyle w:val="Hyperlink"/>
          </w:rPr>
          <w:t>secretary</w:t>
        </w:r>
      </w:hyperlink>
      <w:r>
        <w:t>.</w:t>
      </w:r>
      <w:r>
        <w:rPr>
          <w:rStyle w:val="EndnoteReference"/>
          <w:rFonts w:cs="Times New Roman"/>
        </w:rPr>
        <w:endnoteReference w:id="17"/>
      </w:r>
    </w:p>
    <w:p w14:paraId="331B25D4" w14:textId="29646DC4" w:rsidR="00720091" w:rsidRPr="00EE335B" w:rsidRDefault="00720091" w:rsidP="00171587">
      <w:pPr>
        <w:pStyle w:val="Normalwithspacebetween"/>
      </w:pPr>
      <w:r>
        <w:t xml:space="preserve">Since the last comprehensive site visit for accreditation, the College experienced two changes in the position of chief executive officer. In February 2015, Dr. Chui Tsang </w:t>
      </w:r>
      <w:hyperlink r:id="rId69" w:history="1">
        <w:r w:rsidRPr="00FA7416">
          <w:rPr>
            <w:rStyle w:val="Hyperlink"/>
          </w:rPr>
          <w:t>announced</w:t>
        </w:r>
      </w:hyperlink>
      <w:r>
        <w:t xml:space="preserve"> his decision to retire,</w:t>
      </w:r>
      <w:r>
        <w:rPr>
          <w:rStyle w:val="EndnoteReference"/>
          <w:rFonts w:cs="Times New Roman"/>
        </w:rPr>
        <w:endnoteReference w:id="18"/>
      </w:r>
      <w:r>
        <w:t xml:space="preserve"> after holding the position for nine years. On July 1, 2015,</w:t>
      </w:r>
      <w:r>
        <w:rPr>
          <w:rStyle w:val="EndnoteReference"/>
          <w:rFonts w:cs="Times New Roman"/>
        </w:rPr>
        <w:endnoteReference w:id="19"/>
      </w:r>
      <w:r>
        <w:t xml:space="preserve"> Jeff Shimizu, former Vice President of Academic Affairs, became the </w:t>
      </w:r>
      <w:hyperlink r:id="rId70" w:history="1">
        <w:r w:rsidRPr="00FA7416">
          <w:rPr>
            <w:rStyle w:val="Hyperlink"/>
          </w:rPr>
          <w:t>interim Superintendent/President</w:t>
        </w:r>
      </w:hyperlink>
      <w:r>
        <w:t xml:space="preserve">. Shimizu held this position for eight months, until Dr. Jeffrey joined the institution. The College immediately </w:t>
      </w:r>
      <w:hyperlink r:id="rId71" w:history="1">
        <w:r w:rsidRPr="00FA7416">
          <w:rPr>
            <w:rStyle w:val="Hyperlink"/>
          </w:rPr>
          <w:t>informed the Commission</w:t>
        </w:r>
      </w:hyperlink>
      <w:r>
        <w:t xml:space="preserve"> of the changes to chief executive officer.</w:t>
      </w:r>
      <w:r>
        <w:rPr>
          <w:rStyle w:val="EndnoteReference"/>
          <w:rFonts w:cs="Times New Roman"/>
        </w:rPr>
        <w:endnoteReference w:id="20"/>
      </w:r>
      <w:r>
        <w:t xml:space="preserve"> </w:t>
      </w:r>
    </w:p>
    <w:p w14:paraId="70378D8B" w14:textId="5FD40FAD" w:rsidR="00720091" w:rsidRDefault="00720091" w:rsidP="008D5D3C">
      <w:pPr>
        <w:pStyle w:val="Heading3"/>
        <w:tabs>
          <w:tab w:val="left" w:pos="360"/>
        </w:tabs>
        <w:spacing w:after="0"/>
      </w:pPr>
      <w:r>
        <w:lastRenderedPageBreak/>
        <w:t>5.</w:t>
      </w:r>
      <w:r>
        <w:tab/>
      </w:r>
      <w:r w:rsidRPr="00EE335B">
        <w:t>Financial Accountability</w:t>
      </w:r>
    </w:p>
    <w:p w14:paraId="2F5A0F59" w14:textId="006B23FE" w:rsidR="00720091" w:rsidRDefault="00720091" w:rsidP="00171587">
      <w:pPr>
        <w:pStyle w:val="Normalwithspacebetween"/>
      </w:pPr>
      <w:r>
        <w:t xml:space="preserve">Each year, Santa Monica College undergoes and makes available an </w:t>
      </w:r>
      <w:r w:rsidRPr="00FA7416">
        <w:t>external financial audit</w:t>
      </w:r>
      <w:r>
        <w:t xml:space="preserve"> by a certified public accountant, in accordance with the </w:t>
      </w:r>
      <w:hyperlink r:id="rId72" w:history="1">
        <w:r w:rsidRPr="00FA7416">
          <w:rPr>
            <w:rStyle w:val="Hyperlink"/>
          </w:rPr>
          <w:t>requirements</w:t>
        </w:r>
      </w:hyperlink>
      <w:r>
        <w:t xml:space="preserve"> of the California Community College Chancellor’s Office.</w:t>
      </w:r>
      <w:r>
        <w:rPr>
          <w:rStyle w:val="EndnoteReference"/>
          <w:rFonts w:cs="Times New Roman"/>
        </w:rPr>
        <w:endnoteReference w:id="21"/>
      </w:r>
      <w:r>
        <w:t xml:space="preserve"> The auditing firm conducts the audit using generally accepted accounting principles. The </w:t>
      </w:r>
      <w:r w:rsidR="009E47C0">
        <w:t xml:space="preserve">annual </w:t>
      </w:r>
      <w:hyperlink r:id="rId73" w:history="1">
        <w:r w:rsidRPr="009E47C0">
          <w:rPr>
            <w:rStyle w:val="Hyperlink"/>
          </w:rPr>
          <w:t>District Audit Report</w:t>
        </w:r>
        <w:r w:rsidR="009E47C0" w:rsidRPr="009E47C0">
          <w:rPr>
            <w:rStyle w:val="Hyperlink"/>
          </w:rPr>
          <w:t>s</w:t>
        </w:r>
      </w:hyperlink>
      <w:r>
        <w:t xml:space="preserve"> </w:t>
      </w:r>
      <w:r w:rsidR="009E47C0">
        <w:t>are</w:t>
      </w:r>
      <w:r>
        <w:t xml:space="preserve"> presented to the Board of Trustees and is posted on the college website.</w:t>
      </w:r>
      <w:r>
        <w:rPr>
          <w:rStyle w:val="EndnoteReference"/>
          <w:rFonts w:cs="Times New Roman"/>
        </w:rPr>
        <w:endnoteReference w:id="22"/>
      </w:r>
    </w:p>
    <w:p w14:paraId="30FE71FD" w14:textId="64E6FC5E" w:rsidR="00720091" w:rsidRDefault="00720091" w:rsidP="00171587">
      <w:pPr>
        <w:pStyle w:val="Normalwithspacebetween"/>
      </w:pPr>
      <w:r>
        <w:t xml:space="preserve">The College’s Financial Aid Office coordinates the approval process and provides assistance to students completing and submitting their Free Application for Federal Student Aid (FAFSA) forms. The </w:t>
      </w:r>
      <w:r w:rsidR="009E47C0">
        <w:t xml:space="preserve">Financial Aid </w:t>
      </w:r>
      <w:r>
        <w:t xml:space="preserve">Office submits </w:t>
      </w:r>
      <w:hyperlink r:id="rId74" w:history="1">
        <w:r w:rsidRPr="009E47C0">
          <w:rPr>
            <w:rStyle w:val="Hyperlink"/>
          </w:rPr>
          <w:t>annual</w:t>
        </w:r>
      </w:hyperlink>
      <w:r>
        <w:rPr>
          <w:rStyle w:val="EndnoteReference"/>
        </w:rPr>
        <w:endnoteReference w:id="23"/>
      </w:r>
      <w:r>
        <w:t xml:space="preserve"> and </w:t>
      </w:r>
      <w:hyperlink r:id="rId75" w:history="1">
        <w:r w:rsidRPr="009E47C0">
          <w:rPr>
            <w:rStyle w:val="Hyperlink"/>
          </w:rPr>
          <w:t>six year</w:t>
        </w:r>
      </w:hyperlink>
      <w:r>
        <w:rPr>
          <w:rStyle w:val="EndnoteReference"/>
        </w:rPr>
        <w:endnoteReference w:id="24"/>
      </w:r>
      <w:r>
        <w:t xml:space="preserve"> Program Review reports. The College’s </w:t>
      </w:r>
      <w:hyperlink r:id="rId76" w:history="1">
        <w:r w:rsidRPr="009E47C0">
          <w:rPr>
            <w:rStyle w:val="Hyperlink"/>
          </w:rPr>
          <w:t>three-year default rate</w:t>
        </w:r>
      </w:hyperlink>
      <w:r>
        <w:t xml:space="preserve"> on student loans in Fiscal Year 2012 was 10.5%,</w:t>
      </w:r>
      <w:r>
        <w:rPr>
          <w:rStyle w:val="EndnoteReference"/>
          <w:rFonts w:cs="Times New Roman"/>
        </w:rPr>
        <w:endnoteReference w:id="25"/>
      </w:r>
      <w:r>
        <w:t xml:space="preserve"> which is below the requirement established by California (&lt;15.5%) as well as the federal requirement (&lt;30%).</w:t>
      </w:r>
    </w:p>
    <w:p w14:paraId="250B4FA8" w14:textId="77777777" w:rsidR="00720091" w:rsidRDefault="00720091" w:rsidP="00BB44E1">
      <w:pPr>
        <w:pStyle w:val="Normalwithspacebetween"/>
      </w:pPr>
    </w:p>
    <w:p w14:paraId="4270B562" w14:textId="77777777" w:rsidR="00720091" w:rsidRDefault="00720091" w:rsidP="007E59C2">
      <w:pPr>
        <w:rPr>
          <w:rFonts w:cs="Times New Roman"/>
        </w:rPr>
        <w:sectPr w:rsidR="00720091" w:rsidSect="00C202A7">
          <w:endnotePr>
            <w:numFmt w:val="decimal"/>
          </w:endnotePr>
          <w:pgSz w:w="12240" w:h="15840"/>
          <w:pgMar w:top="1440" w:right="1440" w:bottom="1440" w:left="1800" w:header="720" w:footer="720" w:gutter="0"/>
          <w:cols w:space="720"/>
          <w:docGrid w:linePitch="360"/>
        </w:sectPr>
      </w:pPr>
    </w:p>
    <w:p w14:paraId="1FCB8462" w14:textId="2E6E5E6F" w:rsidR="00720091" w:rsidRDefault="00720091" w:rsidP="00E01109">
      <w:pPr>
        <w:pStyle w:val="Heading1"/>
      </w:pPr>
      <w:r>
        <w:lastRenderedPageBreak/>
        <w:t>Compliance with Commission Policies</w:t>
      </w:r>
    </w:p>
    <w:p w14:paraId="7403F348" w14:textId="4264474D" w:rsidR="00720091" w:rsidRDefault="00720091" w:rsidP="00CE40E8">
      <w:pPr>
        <w:pStyle w:val="Normalwithspacebetween"/>
      </w:pPr>
      <w:r>
        <w:t xml:space="preserve">This section responds to the Commission Policies as defined in Appendix A of the Manual for Institutional Self Evaluation.  Following each narrative, a table summarizes Santa Monica College’s performance related to each component of the Accrediting Commission for Community and Junior Colleges (ACCJC) Checklist for Evaluating Compliance with Federal Regulations and Related Commission Policies (Appendix K). These sections include references to other sections of the Self Evaluation Report, where appropriate.  </w:t>
      </w:r>
    </w:p>
    <w:p w14:paraId="79599854" w14:textId="7D35D682" w:rsidR="00720091" w:rsidRDefault="00720091" w:rsidP="003B2B93">
      <w:pPr>
        <w:pStyle w:val="Heading3"/>
      </w:pPr>
      <w:r>
        <w:t>Policy on Rights and Responsibilities of the Commission and Member Institutions</w:t>
      </w:r>
    </w:p>
    <w:p w14:paraId="3E6ECDE4" w14:textId="3E0D6ED5" w:rsidR="00720091" w:rsidRDefault="00720091" w:rsidP="003B2B93">
      <w:pPr>
        <w:pStyle w:val="Normalwithspacebetween"/>
      </w:pPr>
      <w:r>
        <w:t xml:space="preserve">The College’s accreditation processes are undertaken on a voluntary basis as a commitment to self-regulation, quality assurance to the public and continuous institutional improvement.  This process is a primary responsibility of the Santa Monica College Academic Senate and the College Administration and the internal accreditation activities are coordinated through the </w:t>
      </w:r>
      <w:hyperlink r:id="rId77" w:history="1">
        <w:r w:rsidRPr="009E47C0">
          <w:rPr>
            <w:rStyle w:val="Hyperlink"/>
          </w:rPr>
          <w:t>Accreditation Steering Committee</w:t>
        </w:r>
      </w:hyperlink>
      <w:r>
        <w:t>.</w:t>
      </w:r>
      <w:r>
        <w:rPr>
          <w:rStyle w:val="EndnoteReference"/>
        </w:rPr>
        <w:endnoteReference w:id="26"/>
      </w:r>
      <w:r>
        <w:t xml:space="preserve">  The Superintendent/President and Accreditation Liaison Officer provide the primary means of communication between the ACCJC and the College.</w:t>
      </w:r>
    </w:p>
    <w:p w14:paraId="7A9953C6" w14:textId="259A1F43" w:rsidR="00720091" w:rsidRDefault="00720091" w:rsidP="00FF081A">
      <w:r w:rsidRPr="00FF081A">
        <w:t>Santa Monica College maintains historical (or past) accreditation reports in the college a</w:t>
      </w:r>
      <w:r>
        <w:t>rchive located in the Library.  Accreditation r</w:t>
      </w:r>
      <w:r w:rsidRPr="00055081">
        <w:t xml:space="preserve">eports and correspondence </w:t>
      </w:r>
      <w:r>
        <w:t xml:space="preserve">submitted </w:t>
      </w:r>
      <w:r w:rsidRPr="00055081">
        <w:t>since 2004 are posted on the college website.</w:t>
      </w:r>
    </w:p>
    <w:p w14:paraId="78B026D7" w14:textId="52E37EA2" w:rsidR="00720091" w:rsidRDefault="00720091" w:rsidP="00055081">
      <w:pPr>
        <w:pStyle w:val="Normalwithspacebetween"/>
      </w:pPr>
      <w:r>
        <w:t xml:space="preserve">The College maintains policies and procedures for student complaints and will make them available to the External Evaluation Visiting Team and the Commission upon request.  These are documented on the college </w:t>
      </w:r>
      <w:hyperlink r:id="rId78" w:history="1">
        <w:r w:rsidRPr="009E47C0">
          <w:rPr>
            <w:rStyle w:val="Hyperlink"/>
          </w:rPr>
          <w:t>website</w:t>
        </w:r>
      </w:hyperlink>
      <w:r>
        <w:t>,</w:t>
      </w:r>
      <w:r>
        <w:rPr>
          <w:rStyle w:val="EndnoteReference"/>
        </w:rPr>
        <w:endnoteReference w:id="27"/>
      </w:r>
      <w:r>
        <w:t xml:space="preserve"> the </w:t>
      </w:r>
      <w:hyperlink r:id="rId79" w:history="1">
        <w:r w:rsidRPr="009E47C0">
          <w:rPr>
            <w:rStyle w:val="Hyperlink"/>
          </w:rPr>
          <w:t>college catalog</w:t>
        </w:r>
      </w:hyperlink>
      <w:r>
        <w:t>,</w:t>
      </w:r>
      <w:r>
        <w:rPr>
          <w:rStyle w:val="EndnoteReference"/>
        </w:rPr>
        <w:endnoteReference w:id="28"/>
      </w:r>
      <w:r>
        <w:t xml:space="preserve"> and the College’s </w:t>
      </w:r>
      <w:hyperlink r:id="rId80" w:history="1">
        <w:r w:rsidRPr="009E47C0">
          <w:rPr>
            <w:rStyle w:val="Hyperlink"/>
          </w:rPr>
          <w:t>Administrative Regulations</w:t>
        </w:r>
      </w:hyperlink>
      <w:r>
        <w:t>.</w:t>
      </w:r>
      <w:r>
        <w:rPr>
          <w:rStyle w:val="EndnoteReference"/>
        </w:rPr>
        <w:endnoteReference w:id="29"/>
      </w:r>
      <w:r>
        <w:t xml:space="preserve">  </w:t>
      </w:r>
    </w:p>
    <w:p w14:paraId="12BB22CA" w14:textId="692F0A06" w:rsidR="00720091" w:rsidRDefault="00720091" w:rsidP="00055081">
      <w:pPr>
        <w:pStyle w:val="Normalwithspacebetween"/>
      </w:pPr>
      <w:r>
        <w:t>The College has a long and successful history of complying with the Commission’s recommendations and has always complied with the recommendations received from the External Evaluation teams or the Commission.</w:t>
      </w:r>
      <w:r>
        <w:rPr>
          <w:rStyle w:val="EndnoteReference"/>
        </w:rPr>
        <w:endnoteReference w:id="30"/>
      </w:r>
      <w:r>
        <w:t xml:space="preserve">  </w:t>
      </w:r>
    </w:p>
    <w:tbl>
      <w:tblPr>
        <w:tblStyle w:val="TableGrid"/>
        <w:tblW w:w="9085" w:type="dxa"/>
        <w:tblLook w:val="04A0" w:firstRow="1" w:lastRow="0" w:firstColumn="1" w:lastColumn="0" w:noHBand="0" w:noVBand="1"/>
      </w:tblPr>
      <w:tblGrid>
        <w:gridCol w:w="9085"/>
      </w:tblGrid>
      <w:tr w:rsidR="00720091" w14:paraId="124E5A9A" w14:textId="77777777" w:rsidTr="00C11872">
        <w:tc>
          <w:tcPr>
            <w:tcW w:w="9085" w:type="dxa"/>
            <w:vAlign w:val="center"/>
          </w:tcPr>
          <w:p w14:paraId="154927A7" w14:textId="6E1B47A9" w:rsidR="00720091" w:rsidRPr="00263A84" w:rsidRDefault="00720091" w:rsidP="0009738E">
            <w:pPr>
              <w:pStyle w:val="TableStyle"/>
              <w:keepNext/>
              <w:rPr>
                <w:b/>
              </w:rPr>
            </w:pPr>
            <w:r w:rsidRPr="00263A84">
              <w:rPr>
                <w:b/>
              </w:rPr>
              <w:t xml:space="preserve">Public Notification of an Evaluation Team Visit and Third Party Comment </w:t>
            </w:r>
          </w:p>
          <w:p w14:paraId="36EF3844" w14:textId="4DBC967D" w:rsidR="00720091" w:rsidRDefault="00720091" w:rsidP="0009738E">
            <w:pPr>
              <w:pStyle w:val="TableStyle"/>
              <w:keepNext/>
            </w:pPr>
            <w:r>
              <w:t>Regulation Citation 602.23(b)</w:t>
            </w:r>
          </w:p>
        </w:tc>
      </w:tr>
      <w:tr w:rsidR="00720091" w14:paraId="4DA98AD2" w14:textId="77777777" w:rsidTr="00C11872">
        <w:tc>
          <w:tcPr>
            <w:tcW w:w="9085" w:type="dxa"/>
          </w:tcPr>
          <w:p w14:paraId="092DD725" w14:textId="77777777" w:rsidR="00720091" w:rsidRDefault="00720091" w:rsidP="009D2ABD">
            <w:pPr>
              <w:pStyle w:val="TableStyle"/>
              <w:jc w:val="left"/>
            </w:pPr>
            <w:r>
              <w:t>The institution has made an appropriate and timely effort to solicit third party comment in advance of a comprehensive evaluation visit.</w:t>
            </w:r>
          </w:p>
          <w:p w14:paraId="7FD2CBD6" w14:textId="1CE6C0B2" w:rsidR="00720091" w:rsidRDefault="00720091" w:rsidP="009D2ABD">
            <w:pPr>
              <w:pStyle w:val="TableStyle"/>
              <w:jc w:val="left"/>
            </w:pPr>
          </w:p>
          <w:p w14:paraId="28E3D464" w14:textId="22FCFCD3" w:rsidR="00720091" w:rsidRDefault="00720091" w:rsidP="00055081">
            <w:pPr>
              <w:pStyle w:val="TableStyle"/>
              <w:jc w:val="left"/>
              <w:rPr>
                <w:rFonts w:ascii="Times New Roman" w:hAnsi="Times New Roman" w:cs="Times New Roman"/>
              </w:rPr>
            </w:pPr>
            <w:r>
              <w:rPr>
                <w:rFonts w:ascii="Times New Roman" w:hAnsi="Times New Roman" w:cs="Times New Roman"/>
              </w:rPr>
              <w:t xml:space="preserve">The College solicited third party comment on its Self Evaluation Report through a series of </w:t>
            </w:r>
            <w:hyperlink r:id="rId81" w:history="1">
              <w:r w:rsidRPr="009E47C0">
                <w:rPr>
                  <w:rStyle w:val="Hyperlink"/>
                  <w:rFonts w:ascii="Times New Roman" w:hAnsi="Times New Roman" w:cs="Times New Roman"/>
                </w:rPr>
                <w:t>Brown Bag sessions</w:t>
              </w:r>
            </w:hyperlink>
            <w:r>
              <w:rPr>
                <w:rFonts w:ascii="Times New Roman" w:hAnsi="Times New Roman" w:cs="Times New Roman"/>
              </w:rPr>
              <w:t>,</w:t>
            </w:r>
            <w:r>
              <w:rPr>
                <w:rStyle w:val="EndnoteReference"/>
                <w:rFonts w:ascii="Times New Roman" w:hAnsi="Times New Roman" w:cs="Times New Roman"/>
              </w:rPr>
              <w:endnoteReference w:id="31"/>
            </w:r>
            <w:r>
              <w:rPr>
                <w:rFonts w:ascii="Times New Roman" w:hAnsi="Times New Roman" w:cs="Times New Roman"/>
              </w:rPr>
              <w:t xml:space="preserve"> </w:t>
            </w:r>
            <w:hyperlink r:id="rId82" w:history="1">
              <w:r w:rsidRPr="00891EDA">
                <w:rPr>
                  <w:rStyle w:val="Hyperlink"/>
                  <w:rFonts w:ascii="Times New Roman" w:hAnsi="Times New Roman" w:cs="Times New Roman"/>
                </w:rPr>
                <w:t>reports to the Board of Trustees</w:t>
              </w:r>
            </w:hyperlink>
            <w:r>
              <w:rPr>
                <w:rFonts w:ascii="Times New Roman" w:hAnsi="Times New Roman" w:cs="Times New Roman"/>
              </w:rPr>
              <w:t xml:space="preserve"> during which public comment is invited,</w:t>
            </w:r>
            <w:r>
              <w:rPr>
                <w:rStyle w:val="EndnoteReference"/>
                <w:rFonts w:ascii="Times New Roman" w:hAnsi="Times New Roman" w:cs="Times New Roman"/>
              </w:rPr>
              <w:endnoteReference w:id="32"/>
            </w:r>
            <w:r>
              <w:rPr>
                <w:rFonts w:ascii="Times New Roman" w:hAnsi="Times New Roman" w:cs="Times New Roman"/>
              </w:rPr>
              <w:t xml:space="preserve"> an announcement by the Superintendent/President, and </w:t>
            </w:r>
            <w:hyperlink r:id="rId83" w:history="1">
              <w:r w:rsidRPr="00AD2556">
                <w:rPr>
                  <w:rStyle w:val="Hyperlink"/>
                  <w:rFonts w:ascii="Times New Roman" w:hAnsi="Times New Roman" w:cs="Times New Roman"/>
                </w:rPr>
                <w:t>posts to the College’s web page</w:t>
              </w:r>
            </w:hyperlink>
            <w:r>
              <w:rPr>
                <w:rFonts w:ascii="Times New Roman" w:hAnsi="Times New Roman" w:cs="Times New Roman"/>
              </w:rPr>
              <w:t xml:space="preserve"> on the Accreditation process.</w:t>
            </w:r>
            <w:r>
              <w:rPr>
                <w:rStyle w:val="EndnoteReference"/>
                <w:rFonts w:ascii="Times New Roman" w:hAnsi="Times New Roman" w:cs="Times New Roman"/>
              </w:rPr>
              <w:endnoteReference w:id="33"/>
            </w:r>
            <w:r>
              <w:rPr>
                <w:rFonts w:ascii="Times New Roman" w:hAnsi="Times New Roman" w:cs="Times New Roman"/>
              </w:rPr>
              <w:t xml:space="preserve">  </w:t>
            </w:r>
          </w:p>
          <w:p w14:paraId="27ADB29A" w14:textId="3FFB5B99" w:rsidR="00720091" w:rsidRPr="00935999" w:rsidRDefault="00720091" w:rsidP="00055081">
            <w:pPr>
              <w:pStyle w:val="TableStyle"/>
              <w:jc w:val="left"/>
              <w:rPr>
                <w:rFonts w:ascii="Times New Roman" w:hAnsi="Times New Roman" w:cs="Times New Roman"/>
              </w:rPr>
            </w:pPr>
          </w:p>
        </w:tc>
      </w:tr>
      <w:tr w:rsidR="00720091" w14:paraId="252B0773" w14:textId="77777777" w:rsidTr="00C11872">
        <w:tc>
          <w:tcPr>
            <w:tcW w:w="9085" w:type="dxa"/>
          </w:tcPr>
          <w:p w14:paraId="04E34639" w14:textId="77777777" w:rsidR="00720091" w:rsidRDefault="00720091" w:rsidP="009D2ABD">
            <w:pPr>
              <w:pStyle w:val="TableStyle"/>
              <w:jc w:val="left"/>
            </w:pPr>
            <w:r>
              <w:lastRenderedPageBreak/>
              <w:t>The institution cooperates with the evaluation team in any necessary follow-up related to the third party comment.</w:t>
            </w:r>
          </w:p>
          <w:p w14:paraId="1E099B8D" w14:textId="77777777" w:rsidR="00720091" w:rsidRDefault="00720091" w:rsidP="009D2ABD">
            <w:pPr>
              <w:pStyle w:val="TableStyle"/>
              <w:jc w:val="left"/>
            </w:pPr>
          </w:p>
          <w:p w14:paraId="061BC0ED" w14:textId="77777777" w:rsidR="00720091" w:rsidRDefault="00720091" w:rsidP="00935999">
            <w:pPr>
              <w:pStyle w:val="TableStyle"/>
              <w:jc w:val="left"/>
              <w:rPr>
                <w:rFonts w:ascii="Times New Roman" w:hAnsi="Times New Roman" w:cs="Times New Roman"/>
              </w:rPr>
            </w:pPr>
            <w:r>
              <w:rPr>
                <w:rFonts w:ascii="Times New Roman" w:hAnsi="Times New Roman" w:cs="Times New Roman"/>
              </w:rPr>
              <w:t>The College will address any follow up required by the external evaluation visiting team regarding third party comments.</w:t>
            </w:r>
          </w:p>
          <w:p w14:paraId="2B6D8F9B" w14:textId="48D0F307" w:rsidR="00720091" w:rsidRPr="005B0C71" w:rsidRDefault="00720091" w:rsidP="00935999">
            <w:pPr>
              <w:pStyle w:val="TableStyle"/>
              <w:jc w:val="left"/>
              <w:rPr>
                <w:rFonts w:ascii="Times New Roman" w:hAnsi="Times New Roman" w:cs="Times New Roman"/>
              </w:rPr>
            </w:pPr>
          </w:p>
        </w:tc>
      </w:tr>
      <w:tr w:rsidR="00720091" w14:paraId="0E6EC98F" w14:textId="77777777" w:rsidTr="00C11872">
        <w:tc>
          <w:tcPr>
            <w:tcW w:w="9085" w:type="dxa"/>
          </w:tcPr>
          <w:p w14:paraId="03F836E1" w14:textId="77777777" w:rsidR="00720091" w:rsidRDefault="00720091" w:rsidP="009D2ABD">
            <w:pPr>
              <w:pStyle w:val="TableStyle"/>
              <w:jc w:val="left"/>
            </w:pPr>
            <w:r>
              <w:t>The institution demonstrates compliance with the Commission Policy on Rights and Responsibilities of the Commission and Member Institutions as to third party comment.</w:t>
            </w:r>
          </w:p>
          <w:p w14:paraId="645E07AB" w14:textId="77777777" w:rsidR="00720091" w:rsidRDefault="00720091" w:rsidP="009D2ABD">
            <w:pPr>
              <w:pStyle w:val="TableStyle"/>
              <w:jc w:val="left"/>
            </w:pPr>
          </w:p>
          <w:p w14:paraId="0C7826F0" w14:textId="590C7A53" w:rsidR="00720091" w:rsidRDefault="00720091" w:rsidP="00803565">
            <w:pPr>
              <w:pStyle w:val="TableStyle"/>
              <w:jc w:val="left"/>
              <w:rPr>
                <w:rFonts w:ascii="Times New Roman" w:hAnsi="Times New Roman" w:cs="Times New Roman"/>
              </w:rPr>
            </w:pPr>
            <w:r w:rsidRPr="00EB0DC9">
              <w:rPr>
                <w:rFonts w:ascii="Times New Roman" w:hAnsi="Times New Roman" w:cs="Times New Roman"/>
              </w:rPr>
              <w:t>In addition to</w:t>
            </w:r>
            <w:r>
              <w:rPr>
                <w:rFonts w:ascii="Times New Roman" w:hAnsi="Times New Roman" w:cs="Times New Roman"/>
              </w:rPr>
              <w:t xml:space="preserve"> the opportunities for third party comment via </w:t>
            </w:r>
            <w:r w:rsidR="00355ABC">
              <w:rPr>
                <w:rFonts w:ascii="Times New Roman" w:hAnsi="Times New Roman" w:cs="Times New Roman"/>
              </w:rPr>
              <w:t>B</w:t>
            </w:r>
            <w:r>
              <w:rPr>
                <w:rFonts w:ascii="Times New Roman" w:hAnsi="Times New Roman" w:cs="Times New Roman"/>
              </w:rPr>
              <w:t xml:space="preserve">oard </w:t>
            </w:r>
            <w:r w:rsidR="00355ABC">
              <w:rPr>
                <w:rFonts w:ascii="Times New Roman" w:hAnsi="Times New Roman" w:cs="Times New Roman"/>
              </w:rPr>
              <w:t xml:space="preserve">of Trustee </w:t>
            </w:r>
            <w:r>
              <w:rPr>
                <w:rFonts w:ascii="Times New Roman" w:hAnsi="Times New Roman" w:cs="Times New Roman"/>
              </w:rPr>
              <w:t>reports and the Brown Bag sessions</w:t>
            </w:r>
            <w:r w:rsidRPr="00EB0DC9">
              <w:rPr>
                <w:rFonts w:ascii="Times New Roman" w:hAnsi="Times New Roman" w:cs="Times New Roman"/>
              </w:rPr>
              <w:t xml:space="preserve">, President Jeffery notified the campus community and the public of the opportunity to submit third-party comments </w:t>
            </w:r>
            <w:r>
              <w:rPr>
                <w:rFonts w:ascii="Times New Roman" w:hAnsi="Times New Roman" w:cs="Times New Roman"/>
              </w:rPr>
              <w:t>through a college bulletin and an invitation to comment on the college website</w:t>
            </w:r>
            <w:r w:rsidRPr="00EB0DC9">
              <w:rPr>
                <w:rFonts w:ascii="Times New Roman" w:hAnsi="Times New Roman" w:cs="Times New Roman"/>
              </w:rPr>
              <w:t>.</w:t>
            </w:r>
          </w:p>
          <w:p w14:paraId="71EF8FDB" w14:textId="70A531E6" w:rsidR="00720091" w:rsidRPr="00935999" w:rsidRDefault="00720091" w:rsidP="00803565">
            <w:pPr>
              <w:pStyle w:val="TableStyle"/>
              <w:jc w:val="left"/>
              <w:rPr>
                <w:rFonts w:ascii="Times New Roman" w:hAnsi="Times New Roman" w:cs="Times New Roman"/>
              </w:rPr>
            </w:pPr>
          </w:p>
        </w:tc>
      </w:tr>
    </w:tbl>
    <w:p w14:paraId="56D12A32" w14:textId="77777777" w:rsidR="00720091" w:rsidRDefault="00720091" w:rsidP="0009738E">
      <w:pPr>
        <w:pStyle w:val="Heading3"/>
      </w:pPr>
      <w:r>
        <w:t>Policy on Institutional Degrees and Credits</w:t>
      </w:r>
    </w:p>
    <w:p w14:paraId="314CB56E" w14:textId="5338D050" w:rsidR="00720091" w:rsidRDefault="00720091" w:rsidP="00AD2556">
      <w:pPr>
        <w:spacing w:before="120" w:after="120"/>
        <w:rPr>
          <w:rFonts w:cs="Times New Roman"/>
        </w:rPr>
      </w:pPr>
      <w:r>
        <w:t xml:space="preserve">Santa Monica College </w:t>
      </w:r>
      <w:r>
        <w:rPr>
          <w:rFonts w:cs="Times New Roman"/>
        </w:rPr>
        <w:t xml:space="preserve">ensures appropriate breadth and depth by requiring that </w:t>
      </w:r>
      <w:hyperlink r:id="rId84" w:history="1">
        <w:r w:rsidRPr="00891EDA">
          <w:rPr>
            <w:rStyle w:val="Hyperlink"/>
            <w:rFonts w:cs="Times New Roman"/>
          </w:rPr>
          <w:t>degree programs</w:t>
        </w:r>
      </w:hyperlink>
      <w:r>
        <w:rPr>
          <w:rFonts w:cs="Times New Roman"/>
        </w:rPr>
        <w:t xml:space="preserve"> have a minimum of 60 units, with at least 18 units in an area of concentration, and between 18-39 units of general education (GE).</w:t>
      </w:r>
      <w:r>
        <w:rPr>
          <w:rStyle w:val="EndnoteReference"/>
          <w:rFonts w:cs="Times New Roman"/>
        </w:rPr>
        <w:endnoteReference w:id="34"/>
      </w:r>
      <w:r>
        <w:rPr>
          <w:rFonts w:cs="Times New Roman"/>
        </w:rPr>
        <w:t xml:space="preserve">  Three GE course patterns can be followed, including Santa Monica College’s own GE pattern, California State University’s GE pattern, or the IGETC pattern (Intersegmental GE Transfer Curriculum).  </w:t>
      </w:r>
    </w:p>
    <w:p w14:paraId="2D1698A5" w14:textId="16E20F38" w:rsidR="00720091" w:rsidRDefault="00720091" w:rsidP="00AD2556">
      <w:pPr>
        <w:spacing w:before="120" w:after="120"/>
        <w:rPr>
          <w:rFonts w:cs="Times New Roman"/>
        </w:rPr>
      </w:pPr>
      <w:r>
        <w:rPr>
          <w:rFonts w:cs="Times New Roman"/>
        </w:rPr>
        <w:t xml:space="preserve">The College adheres to established </w:t>
      </w:r>
      <w:hyperlink r:id="rId85" w:history="1">
        <w:r w:rsidRPr="00891EDA">
          <w:rPr>
            <w:rStyle w:val="Hyperlink"/>
            <w:rFonts w:cs="Times New Roman"/>
          </w:rPr>
          <w:t>Board Policies</w:t>
        </w:r>
      </w:hyperlink>
      <w:r>
        <w:rPr>
          <w:rStyle w:val="EndnoteReference"/>
          <w:rFonts w:cs="Times New Roman"/>
        </w:rPr>
        <w:endnoteReference w:id="35"/>
      </w:r>
      <w:r>
        <w:rPr>
          <w:rFonts w:cs="Times New Roman"/>
        </w:rPr>
        <w:t xml:space="preserve"> to determine the credit hours and follows </w:t>
      </w:r>
      <w:hyperlink r:id="rId86" w:history="1">
        <w:r w:rsidRPr="00891EDA">
          <w:rPr>
            <w:rStyle w:val="Hyperlink"/>
            <w:rFonts w:cs="Times New Roman"/>
          </w:rPr>
          <w:t>Title 5, Section 55063</w:t>
        </w:r>
      </w:hyperlink>
      <w:r>
        <w:rPr>
          <w:rFonts w:cs="Times New Roman"/>
        </w:rPr>
        <w:t xml:space="preserve"> with regard to the minimum requirements for an Associate’s Degree.</w:t>
      </w:r>
      <w:r>
        <w:rPr>
          <w:rStyle w:val="EndnoteReference"/>
          <w:rFonts w:cs="Times New Roman"/>
        </w:rPr>
        <w:endnoteReference w:id="36"/>
      </w:r>
    </w:p>
    <w:p w14:paraId="3EDBD440" w14:textId="2525FA0B" w:rsidR="00720091" w:rsidRDefault="00720091" w:rsidP="00AD2556">
      <w:pPr>
        <w:pStyle w:val="Normalwithspacebetween"/>
      </w:pPr>
      <w:r w:rsidRPr="00A15AB0">
        <w:rPr>
          <w:rStyle w:val="NoSpacingChar"/>
          <w:rFonts w:eastAsiaTheme="minorEastAsia"/>
          <w:sz w:val="24"/>
          <w:szCs w:val="24"/>
        </w:rPr>
        <w:t>The College also follows the Chancellor’s Office “</w:t>
      </w:r>
      <w:hyperlink r:id="rId87" w:history="1">
        <w:r w:rsidRPr="00891EDA">
          <w:rPr>
            <w:rStyle w:val="Hyperlink"/>
          </w:rPr>
          <w:t>Standard Formula for Credit Hour Calculations</w:t>
        </w:r>
      </w:hyperlink>
      <w:r w:rsidRPr="00A15AB0">
        <w:rPr>
          <w:rStyle w:val="NoSpacingChar"/>
          <w:rFonts w:eastAsiaTheme="minorEastAsia"/>
          <w:sz w:val="24"/>
          <w:szCs w:val="24"/>
        </w:rPr>
        <w:t>.”</w:t>
      </w:r>
      <w:r>
        <w:rPr>
          <w:rStyle w:val="EndnoteReference"/>
        </w:rPr>
        <w:endnoteReference w:id="37"/>
      </w:r>
      <w:r w:rsidRPr="00A15AB0">
        <w:t xml:space="preserve">  Though the system used to determine units of credit is based upon an 18-week semester, the College uses a compressed semester calendar, with a semester of approximately 17 weeks in length.  As such, every 18 hours of lecture per semester (or just over one hour per week in the College’s 17-week semester system) corresponds to one unit of course credit.  For laboratory or arranged hours (both of which refer to ways of scheduling activity time as opposed to lecture time), 54 hours of class time per semester (or just over three hours per week in the 17-week semester) corresponds to one unit of course credit.</w:t>
      </w:r>
      <w:r>
        <w:t xml:space="preserve">  </w:t>
      </w:r>
    </w:p>
    <w:p w14:paraId="60C43B1D" w14:textId="126A79E3" w:rsidR="00720091" w:rsidRPr="00A15AB0" w:rsidRDefault="00720091" w:rsidP="00AD2556">
      <w:pPr>
        <w:pStyle w:val="Normalwithspacebetween"/>
      </w:pPr>
      <w:r>
        <w:lastRenderedPageBreak/>
        <w:t>The College does not offer courses based on clock hours or direct assessment programs.</w:t>
      </w:r>
    </w:p>
    <w:tbl>
      <w:tblPr>
        <w:tblStyle w:val="TableGrid"/>
        <w:tblW w:w="0" w:type="auto"/>
        <w:tblLook w:val="04A0" w:firstRow="1" w:lastRow="0" w:firstColumn="1" w:lastColumn="0" w:noHBand="0" w:noVBand="1"/>
      </w:tblPr>
      <w:tblGrid>
        <w:gridCol w:w="8990"/>
      </w:tblGrid>
      <w:tr w:rsidR="00720091" w14:paraId="7222E2E9" w14:textId="77777777" w:rsidTr="0009738E">
        <w:tc>
          <w:tcPr>
            <w:tcW w:w="8990" w:type="dxa"/>
            <w:vAlign w:val="center"/>
          </w:tcPr>
          <w:p w14:paraId="13634262" w14:textId="61F66578" w:rsidR="00720091" w:rsidRPr="005B0C71" w:rsidRDefault="00720091" w:rsidP="00935999">
            <w:pPr>
              <w:pStyle w:val="TableStyle"/>
              <w:keepNext/>
              <w:rPr>
                <w:b/>
              </w:rPr>
            </w:pPr>
            <w:r w:rsidRPr="005B0C71">
              <w:rPr>
                <w:b/>
              </w:rPr>
              <w:t>Standards and Performance with Respect to Student Achievement</w:t>
            </w:r>
          </w:p>
          <w:p w14:paraId="674F8EB7" w14:textId="1EACB4EF" w:rsidR="00720091" w:rsidRPr="005B0C71" w:rsidRDefault="00720091" w:rsidP="00935999">
            <w:pPr>
              <w:pStyle w:val="TableStyle"/>
              <w:keepNext/>
            </w:pPr>
            <w:r w:rsidRPr="005B0C71">
              <w:t>Regulation Citation 602.16(a)(1)(i); 602.17(f); 602.19(a-e)</w:t>
            </w:r>
          </w:p>
        </w:tc>
      </w:tr>
      <w:tr w:rsidR="00720091" w14:paraId="1CE9C518" w14:textId="77777777" w:rsidTr="00EB0DC9">
        <w:tc>
          <w:tcPr>
            <w:tcW w:w="8990" w:type="dxa"/>
          </w:tcPr>
          <w:p w14:paraId="28B69EE0" w14:textId="77777777" w:rsidR="00720091" w:rsidRDefault="00720091" w:rsidP="009D2ABD">
            <w:pPr>
              <w:pStyle w:val="TableStyle"/>
              <w:jc w:val="left"/>
            </w:pPr>
            <w:r>
              <w:t>The institution has defined elements of student achievement performance across the institution, and has identified the expected measure of performance within each defined element. Course completion is included as one of these elements of student achievement. Other elements of student achievement performance for measurement have been determined as appropriate to the institution’s mission.</w:t>
            </w:r>
          </w:p>
          <w:p w14:paraId="00F9CAA0" w14:textId="77777777" w:rsidR="00720091" w:rsidRDefault="00720091" w:rsidP="009D2ABD">
            <w:pPr>
              <w:pStyle w:val="TableStyle"/>
              <w:jc w:val="left"/>
            </w:pPr>
          </w:p>
          <w:p w14:paraId="1B936875" w14:textId="4DF0EFF8" w:rsidR="00720091" w:rsidRPr="00C11872" w:rsidRDefault="00720091" w:rsidP="009D2ABD">
            <w:pPr>
              <w:pStyle w:val="TableStyle"/>
              <w:jc w:val="left"/>
              <w:rPr>
                <w:rFonts w:ascii="Times New Roman" w:hAnsi="Times New Roman" w:cs="Times New Roman"/>
                <w:sz w:val="20"/>
              </w:rPr>
            </w:pPr>
            <w:r w:rsidRPr="00C11872">
              <w:rPr>
                <w:rFonts w:ascii="Times New Roman" w:hAnsi="Times New Roman"/>
                <w:szCs w:val="24"/>
              </w:rPr>
              <w:t xml:space="preserve">To comply with the new regulations set by the U.S. Department of Education and the ACCJC, Santa Monica College has established institution-set standards for all indicators measuring student success and achievement, such as course completion, transfer, and license examination pass rates.  Two of these indicators specifically address Distance Education, including Distance Learning Course Success Rate Gap and Distance Learning Course Retention Rate Gap, although data from online courses and programming is included in the other indicators as well.  The most current indicators and their corresponding institution-set standards are noted in the </w:t>
            </w:r>
            <w:hyperlink r:id="rId88" w:history="1">
              <w:r w:rsidRPr="00891EDA">
                <w:rPr>
                  <w:rStyle w:val="Hyperlink"/>
                  <w:rFonts w:ascii="Times New Roman" w:hAnsi="Times New Roman"/>
                  <w:szCs w:val="24"/>
                </w:rPr>
                <w:t>Institutional Effectiveness Dashboard</w:t>
              </w:r>
            </w:hyperlink>
            <w:r w:rsidRPr="00C11872">
              <w:rPr>
                <w:rStyle w:val="EndnoteReference"/>
                <w:rFonts w:ascii="Times New Roman" w:hAnsi="Times New Roman"/>
                <w:szCs w:val="24"/>
              </w:rPr>
              <w:endnoteReference w:id="38"/>
            </w:r>
            <w:r w:rsidRPr="00C11872">
              <w:rPr>
                <w:rFonts w:ascii="Times New Roman" w:hAnsi="Times New Roman"/>
                <w:szCs w:val="24"/>
              </w:rPr>
              <w:t xml:space="preserve"> on the Santa Monica College website.</w:t>
            </w:r>
          </w:p>
          <w:p w14:paraId="011B0B2D" w14:textId="77777777" w:rsidR="00720091" w:rsidRDefault="00720091" w:rsidP="009D2ABD">
            <w:pPr>
              <w:pStyle w:val="TableStyle"/>
              <w:jc w:val="left"/>
              <w:rPr>
                <w:rFonts w:ascii="Times New Roman" w:hAnsi="Times New Roman" w:cs="Times New Roman"/>
              </w:rPr>
            </w:pPr>
          </w:p>
          <w:p w14:paraId="5C8607E5" w14:textId="666987E5" w:rsidR="00720091" w:rsidRPr="002B6FD1" w:rsidRDefault="00720091" w:rsidP="00E26E4C">
            <w:pPr>
              <w:pStyle w:val="TableStyle"/>
              <w:jc w:val="left"/>
              <w:rPr>
                <w:rFonts w:cs="Times New Roman"/>
              </w:rPr>
            </w:pPr>
            <w:r w:rsidRPr="002B6FD1">
              <w:rPr>
                <w:rFonts w:cs="Times New Roman"/>
              </w:rPr>
              <w:t>(See Standard IB.3)</w:t>
            </w:r>
          </w:p>
        </w:tc>
      </w:tr>
      <w:tr w:rsidR="00720091" w14:paraId="5D21E29B" w14:textId="77777777" w:rsidTr="00EB0DC9">
        <w:tc>
          <w:tcPr>
            <w:tcW w:w="8990" w:type="dxa"/>
          </w:tcPr>
          <w:p w14:paraId="3EDE7456" w14:textId="2B24A8DF" w:rsidR="00720091" w:rsidRDefault="00720091" w:rsidP="009D2ABD">
            <w:pPr>
              <w:pStyle w:val="TableStyle"/>
              <w:jc w:val="left"/>
            </w:pPr>
            <w:r>
              <w:t>The institution has defined elements of student achievement performance within each instructional program, and has identified the expected measure of performance within each defined element. The defined elements include, but are not limited to, job placement rates for program completers, and for programs in fields where licensure is required, the licensure examination passage rates for program completers.</w:t>
            </w:r>
          </w:p>
          <w:p w14:paraId="7721D0D2" w14:textId="77777777" w:rsidR="00720091" w:rsidRDefault="00720091" w:rsidP="009D2ABD">
            <w:pPr>
              <w:pStyle w:val="TableStyle"/>
              <w:jc w:val="left"/>
              <w:rPr>
                <w:rFonts w:ascii="Times New Roman" w:hAnsi="Times New Roman" w:cs="Times New Roman"/>
              </w:rPr>
            </w:pPr>
          </w:p>
          <w:p w14:paraId="70D11991" w14:textId="257B1AF4" w:rsidR="00720091" w:rsidRDefault="00720091" w:rsidP="009D2ABD">
            <w:pPr>
              <w:pStyle w:val="TableStyle"/>
              <w:jc w:val="left"/>
              <w:rPr>
                <w:rFonts w:ascii="Times New Roman" w:hAnsi="Times New Roman" w:cs="Times New Roman"/>
              </w:rPr>
            </w:pPr>
            <w:r>
              <w:rPr>
                <w:rFonts w:ascii="Times New Roman" w:hAnsi="Times New Roman" w:cs="Times New Roman"/>
              </w:rPr>
              <w:t xml:space="preserve">The College has </w:t>
            </w:r>
            <w:hyperlink r:id="rId89" w:history="1">
              <w:r w:rsidRPr="00891EDA">
                <w:rPr>
                  <w:rStyle w:val="Hyperlink"/>
                  <w:rFonts w:ascii="Times New Roman" w:hAnsi="Times New Roman" w:cs="Times New Roman"/>
                </w:rPr>
                <w:t>defined Institution Set-Standards</w:t>
              </w:r>
            </w:hyperlink>
            <w:r>
              <w:rPr>
                <w:rFonts w:ascii="Times New Roman" w:hAnsi="Times New Roman" w:cs="Times New Roman"/>
              </w:rPr>
              <w:t xml:space="preserve"> for its many but not all of its academic programs</w:t>
            </w:r>
            <w:r w:rsidRPr="001032B2">
              <w:rPr>
                <w:rFonts w:ascii="Times New Roman" w:hAnsi="Times New Roman" w:cs="Times New Roman"/>
              </w:rPr>
              <w:t>.</w:t>
            </w:r>
            <w:r>
              <w:rPr>
                <w:rStyle w:val="EndnoteReference"/>
                <w:rFonts w:ascii="Times New Roman" w:hAnsi="Times New Roman" w:cs="Times New Roman"/>
              </w:rPr>
              <w:endnoteReference w:id="39"/>
            </w:r>
            <w:r w:rsidRPr="001032B2">
              <w:rPr>
                <w:rFonts w:ascii="Times New Roman" w:hAnsi="Times New Roman" w:cs="Times New Roman"/>
              </w:rPr>
              <w:t xml:space="preserve">  The Academic Senate Joint Institutional Effectiveness Committee initially set standards for 20 college-wide student success metrics in spring of 2013. The committee and key stakeholders review the appropriateness of each standard on an annual basis and make modifications to the standard in cases where the standard is deemed to be too low or unreasonably high while considering factors such as the reduction in course offerings due to budget cuts and changes in course enrollment priority policies. It is expected that instructional departments will set the standards for program-level metrics. To facilitate this process, the Office of Institutional Research has prepared a </w:t>
            </w:r>
            <w:hyperlink r:id="rId90" w:history="1">
              <w:r w:rsidRPr="00891EDA">
                <w:rPr>
                  <w:rStyle w:val="Hyperlink"/>
                  <w:rFonts w:ascii="Times New Roman" w:hAnsi="Times New Roman" w:cs="Times New Roman"/>
                </w:rPr>
                <w:t>data packet</w:t>
              </w:r>
            </w:hyperlink>
            <w:r>
              <w:rPr>
                <w:rStyle w:val="EndnoteReference"/>
                <w:rFonts w:ascii="Times New Roman" w:hAnsi="Times New Roman" w:cs="Times New Roman"/>
              </w:rPr>
              <w:endnoteReference w:id="40"/>
            </w:r>
            <w:r w:rsidRPr="001032B2">
              <w:rPr>
                <w:rFonts w:ascii="Times New Roman" w:hAnsi="Times New Roman" w:cs="Times New Roman"/>
              </w:rPr>
              <w:t xml:space="preserve"> for each instructional department offering degrees and certificates. The data include: </w:t>
            </w:r>
          </w:p>
          <w:p w14:paraId="31C49D0A" w14:textId="77777777" w:rsidR="00720091" w:rsidRDefault="00720091" w:rsidP="001032B2">
            <w:pPr>
              <w:pStyle w:val="TableStyle"/>
              <w:numPr>
                <w:ilvl w:val="0"/>
                <w:numId w:val="16"/>
              </w:numPr>
              <w:ind w:left="697"/>
              <w:jc w:val="left"/>
              <w:rPr>
                <w:rFonts w:ascii="Times New Roman" w:hAnsi="Times New Roman" w:cs="Times New Roman"/>
              </w:rPr>
            </w:pPr>
            <w:r w:rsidRPr="001032B2">
              <w:rPr>
                <w:rFonts w:ascii="Times New Roman" w:hAnsi="Times New Roman" w:cs="Times New Roman"/>
              </w:rPr>
              <w:t>Course Success Rate by Discipline</w:t>
            </w:r>
          </w:p>
          <w:p w14:paraId="6F0D0B0A" w14:textId="77777777" w:rsidR="00720091" w:rsidRDefault="00720091" w:rsidP="001032B2">
            <w:pPr>
              <w:pStyle w:val="TableStyle"/>
              <w:numPr>
                <w:ilvl w:val="0"/>
                <w:numId w:val="16"/>
              </w:numPr>
              <w:ind w:left="697"/>
              <w:jc w:val="left"/>
              <w:rPr>
                <w:rFonts w:ascii="Times New Roman" w:hAnsi="Times New Roman" w:cs="Times New Roman"/>
              </w:rPr>
            </w:pPr>
            <w:r w:rsidRPr="001032B2">
              <w:rPr>
                <w:rFonts w:ascii="Times New Roman" w:hAnsi="Times New Roman" w:cs="Times New Roman"/>
              </w:rPr>
              <w:t xml:space="preserve">Course Success Rates by Time of Day (Arranged Hours, Day, Evening, Weekend) </w:t>
            </w:r>
          </w:p>
          <w:p w14:paraId="719015BB" w14:textId="77777777" w:rsidR="00720091" w:rsidRDefault="00720091" w:rsidP="001032B2">
            <w:pPr>
              <w:pStyle w:val="TableStyle"/>
              <w:numPr>
                <w:ilvl w:val="0"/>
                <w:numId w:val="16"/>
              </w:numPr>
              <w:ind w:left="697"/>
              <w:jc w:val="left"/>
              <w:rPr>
                <w:rFonts w:ascii="Times New Roman" w:hAnsi="Times New Roman" w:cs="Times New Roman"/>
              </w:rPr>
            </w:pPr>
            <w:r w:rsidRPr="001032B2">
              <w:rPr>
                <w:rFonts w:ascii="Times New Roman" w:hAnsi="Times New Roman" w:cs="Times New Roman"/>
              </w:rPr>
              <w:t xml:space="preserve">Course Success Rates by Instructional Delivery Mode (On ground, Online) </w:t>
            </w:r>
          </w:p>
          <w:p w14:paraId="76C76B46" w14:textId="77777777" w:rsidR="00720091" w:rsidRDefault="00720091" w:rsidP="001032B2">
            <w:pPr>
              <w:pStyle w:val="TableStyle"/>
              <w:numPr>
                <w:ilvl w:val="0"/>
                <w:numId w:val="16"/>
              </w:numPr>
              <w:ind w:left="697"/>
              <w:jc w:val="left"/>
              <w:rPr>
                <w:rFonts w:ascii="Times New Roman" w:hAnsi="Times New Roman" w:cs="Times New Roman"/>
              </w:rPr>
            </w:pPr>
            <w:r w:rsidRPr="001032B2">
              <w:rPr>
                <w:rFonts w:ascii="Times New Roman" w:hAnsi="Times New Roman" w:cs="Times New Roman"/>
              </w:rPr>
              <w:t xml:space="preserve">Course Success Rates by student demographics (gender, ethnicity/race, age) </w:t>
            </w:r>
          </w:p>
          <w:p w14:paraId="29E12432" w14:textId="77777777" w:rsidR="00720091" w:rsidRDefault="00720091" w:rsidP="001032B2">
            <w:pPr>
              <w:pStyle w:val="TableStyle"/>
              <w:numPr>
                <w:ilvl w:val="0"/>
                <w:numId w:val="16"/>
              </w:numPr>
              <w:ind w:left="697"/>
              <w:jc w:val="left"/>
              <w:rPr>
                <w:rFonts w:ascii="Times New Roman" w:hAnsi="Times New Roman" w:cs="Times New Roman"/>
              </w:rPr>
            </w:pPr>
            <w:r w:rsidRPr="001032B2">
              <w:rPr>
                <w:rFonts w:ascii="Times New Roman" w:hAnsi="Times New Roman" w:cs="Times New Roman"/>
              </w:rPr>
              <w:t>Course Retention Rate by Discipline</w:t>
            </w:r>
          </w:p>
          <w:p w14:paraId="4B1A6FDC" w14:textId="77777777" w:rsidR="00720091" w:rsidRDefault="00720091" w:rsidP="001032B2">
            <w:pPr>
              <w:pStyle w:val="TableStyle"/>
              <w:numPr>
                <w:ilvl w:val="0"/>
                <w:numId w:val="16"/>
              </w:numPr>
              <w:ind w:left="697"/>
              <w:jc w:val="left"/>
              <w:rPr>
                <w:rFonts w:ascii="Times New Roman" w:hAnsi="Times New Roman" w:cs="Times New Roman"/>
              </w:rPr>
            </w:pPr>
            <w:r w:rsidRPr="001032B2">
              <w:rPr>
                <w:rFonts w:ascii="Times New Roman" w:hAnsi="Times New Roman" w:cs="Times New Roman"/>
              </w:rPr>
              <w:t>Degrees and Certificates Awarded</w:t>
            </w:r>
          </w:p>
          <w:p w14:paraId="5F49BEAC" w14:textId="77777777" w:rsidR="00720091" w:rsidRDefault="00720091" w:rsidP="001032B2">
            <w:pPr>
              <w:pStyle w:val="TableStyle"/>
              <w:numPr>
                <w:ilvl w:val="0"/>
                <w:numId w:val="16"/>
              </w:numPr>
              <w:ind w:left="697"/>
              <w:jc w:val="left"/>
              <w:rPr>
                <w:rFonts w:ascii="Times New Roman" w:hAnsi="Times New Roman" w:cs="Times New Roman"/>
              </w:rPr>
            </w:pPr>
            <w:r w:rsidRPr="001032B2">
              <w:rPr>
                <w:rFonts w:ascii="Times New Roman" w:hAnsi="Times New Roman" w:cs="Times New Roman"/>
              </w:rPr>
              <w:t>License Ex</w:t>
            </w:r>
            <w:r>
              <w:rPr>
                <w:rFonts w:ascii="Times New Roman" w:hAnsi="Times New Roman" w:cs="Times New Roman"/>
              </w:rPr>
              <w:t>am Pass Rates (when applicable)</w:t>
            </w:r>
          </w:p>
          <w:p w14:paraId="4C4F4DDA" w14:textId="386F4B6E" w:rsidR="00720091" w:rsidRPr="001032B2" w:rsidRDefault="00720091" w:rsidP="001032B2">
            <w:pPr>
              <w:pStyle w:val="TableStyle"/>
              <w:numPr>
                <w:ilvl w:val="0"/>
                <w:numId w:val="16"/>
              </w:numPr>
              <w:ind w:left="697"/>
              <w:jc w:val="left"/>
              <w:rPr>
                <w:rFonts w:ascii="Times New Roman" w:hAnsi="Times New Roman" w:cs="Times New Roman"/>
              </w:rPr>
            </w:pPr>
            <w:r>
              <w:rPr>
                <w:rFonts w:ascii="Times New Roman" w:hAnsi="Times New Roman" w:cs="Times New Roman"/>
              </w:rPr>
              <w:t>J</w:t>
            </w:r>
            <w:r w:rsidRPr="001032B2">
              <w:rPr>
                <w:rFonts w:ascii="Times New Roman" w:hAnsi="Times New Roman" w:cs="Times New Roman"/>
              </w:rPr>
              <w:t>ob Placement Rates (when applicable)</w:t>
            </w:r>
          </w:p>
          <w:p w14:paraId="196A90D8" w14:textId="77777777" w:rsidR="00720091" w:rsidRDefault="00720091" w:rsidP="009D2ABD">
            <w:pPr>
              <w:pStyle w:val="TableStyle"/>
              <w:jc w:val="left"/>
              <w:rPr>
                <w:rFonts w:ascii="Times New Roman" w:hAnsi="Times New Roman" w:cs="Times New Roman"/>
              </w:rPr>
            </w:pPr>
          </w:p>
          <w:p w14:paraId="10E88828" w14:textId="102E762C" w:rsidR="00720091" w:rsidRDefault="00720091" w:rsidP="009D2ABD">
            <w:pPr>
              <w:pStyle w:val="TableStyle"/>
              <w:jc w:val="left"/>
              <w:rPr>
                <w:rFonts w:ascii="Times New Roman" w:hAnsi="Times New Roman" w:cs="Times New Roman"/>
              </w:rPr>
            </w:pPr>
            <w:r>
              <w:rPr>
                <w:rFonts w:ascii="Times New Roman" w:hAnsi="Times New Roman" w:cs="Times New Roman"/>
              </w:rPr>
              <w:t xml:space="preserve">CTE programs, in particular, use the state-issued Core Indicators Report to identify areas that require improvement. </w:t>
            </w:r>
            <w:r w:rsidRPr="00995F2F">
              <w:rPr>
                <w:rFonts w:ascii="Times New Roman" w:hAnsi="Times New Roman" w:cs="Times New Roman"/>
              </w:rPr>
              <w:t xml:space="preserve">The Core Indicators Report </w:t>
            </w:r>
            <w:r>
              <w:rPr>
                <w:rFonts w:ascii="Times New Roman" w:hAnsi="Times New Roman" w:cs="Times New Roman"/>
              </w:rPr>
              <w:t xml:space="preserve">serves as one data point </w:t>
            </w:r>
            <w:r w:rsidRPr="00995F2F">
              <w:rPr>
                <w:rFonts w:ascii="Times New Roman" w:hAnsi="Times New Roman" w:cs="Times New Roman"/>
              </w:rPr>
              <w:t xml:space="preserve">used </w:t>
            </w:r>
            <w:r>
              <w:rPr>
                <w:rFonts w:ascii="Times New Roman" w:hAnsi="Times New Roman" w:cs="Times New Roman"/>
              </w:rPr>
              <w:t xml:space="preserve">by CTE programs </w:t>
            </w:r>
            <w:r w:rsidRPr="00995F2F">
              <w:rPr>
                <w:rFonts w:ascii="Times New Roman" w:hAnsi="Times New Roman" w:cs="Times New Roman"/>
              </w:rPr>
              <w:t>to inform the development of annual planning priorities.</w:t>
            </w:r>
            <w:r>
              <w:rPr>
                <w:rFonts w:ascii="Times New Roman" w:hAnsi="Times New Roman" w:cs="Times New Roman"/>
              </w:rPr>
              <w:t xml:space="preserve">  For example, as a result of lower than expected job placement rates, the College developed a </w:t>
            </w:r>
            <w:r w:rsidRPr="00891EDA">
              <w:rPr>
                <w:rFonts w:ascii="Times New Roman" w:hAnsi="Times New Roman" w:cs="Times New Roman"/>
              </w:rPr>
              <w:t>specific objective</w:t>
            </w:r>
            <w:r>
              <w:rPr>
                <w:rFonts w:ascii="Times New Roman" w:hAnsi="Times New Roman" w:cs="Times New Roman"/>
              </w:rPr>
              <w:t xml:space="preserve"> in its </w:t>
            </w:r>
            <w:r w:rsidRPr="00995F2F">
              <w:rPr>
                <w:rFonts w:ascii="Times New Roman" w:hAnsi="Times New Roman" w:cs="Times New Roman"/>
              </w:rPr>
              <w:t>201</w:t>
            </w:r>
            <w:r>
              <w:rPr>
                <w:rFonts w:ascii="Times New Roman" w:hAnsi="Times New Roman" w:cs="Times New Roman"/>
              </w:rPr>
              <w:t xml:space="preserve">4-15 </w:t>
            </w:r>
            <w:r w:rsidRPr="00995F2F">
              <w:rPr>
                <w:rFonts w:ascii="Times New Roman" w:hAnsi="Times New Roman" w:cs="Times New Roman"/>
                <w:i/>
              </w:rPr>
              <w:t>Master Plan for Education</w:t>
            </w:r>
            <w:r>
              <w:rPr>
                <w:rFonts w:ascii="Times New Roman" w:hAnsi="Times New Roman" w:cs="Times New Roman"/>
              </w:rPr>
              <w:t xml:space="preserve"> update (</w:t>
            </w:r>
            <w:hyperlink r:id="rId91" w:history="1">
              <w:r w:rsidRPr="00891EDA">
                <w:rPr>
                  <w:rStyle w:val="Hyperlink"/>
                  <w:rFonts w:ascii="Times New Roman" w:hAnsi="Times New Roman" w:cs="Times New Roman"/>
                </w:rPr>
                <w:t>Objective #2</w:t>
              </w:r>
            </w:hyperlink>
            <w:r w:rsidRPr="00995F2F">
              <w:rPr>
                <w:rFonts w:ascii="Times New Roman" w:hAnsi="Times New Roman" w:cs="Times New Roman"/>
              </w:rPr>
              <w:t xml:space="preserve"> To develop and implement strategies to </w:t>
            </w:r>
            <w:r>
              <w:rPr>
                <w:rFonts w:ascii="Times New Roman" w:hAnsi="Times New Roman" w:cs="Times New Roman"/>
              </w:rPr>
              <w:t>improve the CTE completion rate),</w:t>
            </w:r>
            <w:r>
              <w:rPr>
                <w:rStyle w:val="EndnoteReference"/>
                <w:rFonts w:ascii="Times New Roman" w:hAnsi="Times New Roman" w:cs="Times New Roman"/>
              </w:rPr>
              <w:endnoteReference w:id="41"/>
            </w:r>
            <w:r>
              <w:rPr>
                <w:rFonts w:ascii="Times New Roman" w:hAnsi="Times New Roman" w:cs="Times New Roman"/>
              </w:rPr>
              <w:t xml:space="preserve"> and again in the 2015-16 </w:t>
            </w:r>
            <w:r>
              <w:rPr>
                <w:rFonts w:ascii="Times New Roman" w:hAnsi="Times New Roman" w:cs="Times New Roman"/>
                <w:i/>
              </w:rPr>
              <w:t>Master Plan for Education Update</w:t>
            </w:r>
            <w:r>
              <w:rPr>
                <w:rFonts w:ascii="Times New Roman" w:hAnsi="Times New Roman" w:cs="Times New Roman"/>
              </w:rPr>
              <w:t xml:space="preserve"> (</w:t>
            </w:r>
            <w:hyperlink r:id="rId92" w:history="1">
              <w:r w:rsidRPr="00891EDA">
                <w:rPr>
                  <w:rStyle w:val="Hyperlink"/>
                  <w:rFonts w:ascii="Times New Roman" w:hAnsi="Times New Roman" w:cs="Times New Roman"/>
                </w:rPr>
                <w:t>Objective #10</w:t>
              </w:r>
            </w:hyperlink>
            <w:r>
              <w:rPr>
                <w:rFonts w:ascii="Times New Roman" w:hAnsi="Times New Roman" w:cs="Times New Roman"/>
              </w:rPr>
              <w:t xml:space="preserve"> To </w:t>
            </w:r>
            <w:r w:rsidRPr="00995F2F">
              <w:rPr>
                <w:rFonts w:ascii="Times New Roman" w:hAnsi="Times New Roman" w:cs="Times New Roman"/>
              </w:rPr>
              <w:t>Explore and pilot the use of non-traditional data collection methods and/or third party data collection sources to more effectively track job placement of CTE students</w:t>
            </w:r>
            <w:r>
              <w:rPr>
                <w:rFonts w:ascii="Times New Roman" w:hAnsi="Times New Roman" w:cs="Times New Roman"/>
              </w:rPr>
              <w:t>).</w:t>
            </w:r>
            <w:r>
              <w:rPr>
                <w:rStyle w:val="EndnoteReference"/>
                <w:rFonts w:ascii="Times New Roman" w:hAnsi="Times New Roman" w:cs="Times New Roman"/>
              </w:rPr>
              <w:endnoteReference w:id="42"/>
            </w:r>
          </w:p>
          <w:p w14:paraId="43BC246C" w14:textId="77777777" w:rsidR="00720091" w:rsidRPr="001032B2" w:rsidRDefault="00720091" w:rsidP="009D2ABD">
            <w:pPr>
              <w:pStyle w:val="TableStyle"/>
              <w:jc w:val="left"/>
              <w:rPr>
                <w:rFonts w:ascii="Times New Roman" w:hAnsi="Times New Roman" w:cs="Times New Roman"/>
              </w:rPr>
            </w:pPr>
          </w:p>
          <w:p w14:paraId="7CA83C65" w14:textId="67516B81" w:rsidR="00720091" w:rsidRPr="002B6FD1" w:rsidRDefault="00720091" w:rsidP="001343AE">
            <w:pPr>
              <w:pStyle w:val="TableStyle"/>
              <w:jc w:val="left"/>
            </w:pPr>
            <w:r w:rsidRPr="001343AE">
              <w:rPr>
                <w:rFonts w:cs="Times New Roman"/>
              </w:rPr>
              <w:t>(See Standard IB.3)</w:t>
            </w:r>
          </w:p>
        </w:tc>
      </w:tr>
      <w:tr w:rsidR="00720091" w14:paraId="07871982" w14:textId="77777777" w:rsidTr="00EB0DC9">
        <w:tc>
          <w:tcPr>
            <w:tcW w:w="8990" w:type="dxa"/>
          </w:tcPr>
          <w:p w14:paraId="7A9317FB" w14:textId="512AD975" w:rsidR="00720091" w:rsidRDefault="00720091" w:rsidP="009D2ABD">
            <w:pPr>
              <w:pStyle w:val="TableStyle"/>
              <w:jc w:val="left"/>
            </w:pPr>
            <w:r>
              <w:lastRenderedPageBreak/>
              <w:t>The institution-set standards for programs and across the institution are relevant to guide self-evaluation and institutional improvement; the defined elements and expected performance levels are appropriate within higher education; the results are reported regularly across the campus; and the definition of elements and results are used in program-level and institution-wide planning to evaluate how well the institution fulfills its mission, to determine needed changes, to allocating resources, and to make improvements.</w:t>
            </w:r>
          </w:p>
          <w:p w14:paraId="74603364" w14:textId="77777777" w:rsidR="00720091" w:rsidRDefault="00720091" w:rsidP="009D2ABD">
            <w:pPr>
              <w:pStyle w:val="TableStyle"/>
              <w:jc w:val="left"/>
              <w:rPr>
                <w:rFonts w:ascii="Times New Roman" w:hAnsi="Times New Roman" w:cs="Times New Roman"/>
              </w:rPr>
            </w:pPr>
          </w:p>
          <w:p w14:paraId="2C5D15E7" w14:textId="25AA4A13" w:rsidR="00720091" w:rsidRPr="00600F16" w:rsidRDefault="00720091" w:rsidP="009D2ABD">
            <w:pPr>
              <w:pStyle w:val="TableStyle"/>
              <w:jc w:val="left"/>
              <w:rPr>
                <w:rFonts w:ascii="Times New Roman" w:hAnsi="Times New Roman" w:cs="Times New Roman"/>
              </w:rPr>
            </w:pPr>
            <w:r>
              <w:rPr>
                <w:rFonts w:ascii="Times New Roman" w:hAnsi="Times New Roman" w:cs="Times New Roman"/>
              </w:rPr>
              <w:t>The College’s Program Review process utilizes the Institution Set-Standards described above in the process of program review.  These data are reported college wide through the annual and six year Program Review reports that are housed on the College’s online Program Review system and/or posted to Academic Senate Joint Program Review Committee website.  The results of the program review process are used in allocating resources and making program improvements.</w:t>
            </w:r>
          </w:p>
          <w:p w14:paraId="1A8ED3CE" w14:textId="77777777" w:rsidR="00720091" w:rsidRPr="00600F16" w:rsidRDefault="00720091" w:rsidP="009D2ABD">
            <w:pPr>
              <w:pStyle w:val="TableStyle"/>
              <w:jc w:val="left"/>
              <w:rPr>
                <w:rFonts w:ascii="Times New Roman" w:hAnsi="Times New Roman" w:cs="Times New Roman"/>
              </w:rPr>
            </w:pPr>
          </w:p>
          <w:p w14:paraId="5B8E9215" w14:textId="04B24407" w:rsidR="00720091" w:rsidRPr="002B6FD1" w:rsidRDefault="00720091" w:rsidP="00600F16">
            <w:pPr>
              <w:pStyle w:val="TableStyle"/>
              <w:jc w:val="left"/>
            </w:pPr>
            <w:r w:rsidRPr="002B6FD1">
              <w:rPr>
                <w:rFonts w:cs="Times New Roman"/>
              </w:rPr>
              <w:t>(See Standard IA.3, IB.1, IB.2, IB.4, IB.5, IB.7)</w:t>
            </w:r>
          </w:p>
        </w:tc>
      </w:tr>
      <w:tr w:rsidR="00720091" w14:paraId="6D5FC713" w14:textId="77777777" w:rsidTr="00EB0DC9">
        <w:tc>
          <w:tcPr>
            <w:tcW w:w="8990" w:type="dxa"/>
          </w:tcPr>
          <w:p w14:paraId="6DB5F144" w14:textId="77777777" w:rsidR="00720091" w:rsidRDefault="00720091" w:rsidP="00B9121B">
            <w:pPr>
              <w:pStyle w:val="TableStyle"/>
              <w:keepNext/>
              <w:keepLines/>
              <w:jc w:val="left"/>
            </w:pPr>
            <w:r>
              <w:t>The institution analyzes its performance as to the institution-set standards and as to student achievement, and takes appropriate measures in areas where its performance is not at the expected level.</w:t>
            </w:r>
          </w:p>
          <w:p w14:paraId="77F59FC8" w14:textId="77777777" w:rsidR="00720091" w:rsidRDefault="00720091" w:rsidP="009D2ABD">
            <w:pPr>
              <w:pStyle w:val="TableStyle"/>
              <w:jc w:val="left"/>
              <w:rPr>
                <w:rFonts w:ascii="Times New Roman" w:hAnsi="Times New Roman" w:cs="Times New Roman"/>
              </w:rPr>
            </w:pPr>
          </w:p>
          <w:p w14:paraId="24B90A0C" w14:textId="75C3B541" w:rsidR="00720091" w:rsidRPr="00600F16" w:rsidRDefault="00720091" w:rsidP="009D2ABD">
            <w:pPr>
              <w:pStyle w:val="TableStyle"/>
              <w:jc w:val="left"/>
              <w:rPr>
                <w:rFonts w:ascii="Times New Roman" w:hAnsi="Times New Roman" w:cs="Times New Roman"/>
              </w:rPr>
            </w:pPr>
            <w:r>
              <w:rPr>
                <w:rFonts w:ascii="Times New Roman" w:hAnsi="Times New Roman" w:cs="Times New Roman"/>
              </w:rPr>
              <w:t xml:space="preserve">As discussed above, the College takes appropriate action when performance as to the institution-set standards and student achievement is not at the expected level, by identifying and allocating resources to </w:t>
            </w:r>
            <w:r>
              <w:rPr>
                <w:rFonts w:ascii="Times New Roman" w:hAnsi="Times New Roman" w:cs="Times New Roman"/>
                <w:i/>
              </w:rPr>
              <w:t xml:space="preserve">Master Plan for Education </w:t>
            </w:r>
            <w:r>
              <w:rPr>
                <w:rFonts w:ascii="Times New Roman" w:hAnsi="Times New Roman" w:cs="Times New Roman"/>
              </w:rPr>
              <w:t xml:space="preserve">objectives specifically designed to improve those levels.  </w:t>
            </w:r>
          </w:p>
          <w:p w14:paraId="4FD65AA2" w14:textId="7490AFD2" w:rsidR="00720091" w:rsidRDefault="00720091" w:rsidP="009D2ABD">
            <w:pPr>
              <w:pStyle w:val="TableStyle"/>
              <w:jc w:val="left"/>
            </w:pPr>
          </w:p>
        </w:tc>
      </w:tr>
      <w:tr w:rsidR="00720091" w14:paraId="507BCC92" w14:textId="77777777" w:rsidTr="00EF407A">
        <w:tc>
          <w:tcPr>
            <w:tcW w:w="8990" w:type="dxa"/>
            <w:vAlign w:val="center"/>
          </w:tcPr>
          <w:p w14:paraId="3910C99B" w14:textId="77777777" w:rsidR="00720091" w:rsidRPr="005B0C71" w:rsidRDefault="00720091" w:rsidP="002B6FD1">
            <w:pPr>
              <w:pStyle w:val="TableStyle"/>
              <w:keepNext/>
              <w:rPr>
                <w:b/>
              </w:rPr>
            </w:pPr>
            <w:r w:rsidRPr="005B0C71">
              <w:rPr>
                <w:b/>
              </w:rPr>
              <w:t>Credits, Program Length, and Tuition</w:t>
            </w:r>
          </w:p>
          <w:p w14:paraId="2AD88BE6" w14:textId="7DBC72C9" w:rsidR="00720091" w:rsidRDefault="00720091" w:rsidP="002B6FD1">
            <w:pPr>
              <w:pStyle w:val="TableStyle"/>
              <w:keepNext/>
            </w:pPr>
            <w:r>
              <w:t>Regulation citations: 600.2 (definition of credit hour); 602.16(a)(1)(viii); 602.24(e), (f); 668.2; 668.9.</w:t>
            </w:r>
          </w:p>
        </w:tc>
      </w:tr>
      <w:tr w:rsidR="00720091" w14:paraId="2A4F9A3A" w14:textId="77777777" w:rsidTr="00EF407A">
        <w:tc>
          <w:tcPr>
            <w:tcW w:w="8990" w:type="dxa"/>
          </w:tcPr>
          <w:p w14:paraId="0ED7A71B" w14:textId="05B950F0" w:rsidR="00720091" w:rsidRDefault="00720091" w:rsidP="009D2ABD">
            <w:pPr>
              <w:pStyle w:val="TableStyle"/>
              <w:jc w:val="left"/>
            </w:pPr>
            <w:r>
              <w:t>Credit hour assignments and degree program lengths are within the range of good practice in higher educa</w:t>
            </w:r>
            <w:r w:rsidR="00355ABC">
              <w:t>tion (in policy and procedure).</w:t>
            </w:r>
          </w:p>
          <w:p w14:paraId="7EF8577C" w14:textId="77777777" w:rsidR="00720091" w:rsidRDefault="00720091" w:rsidP="00061B3D">
            <w:pPr>
              <w:pStyle w:val="Normalwithspacebetween"/>
            </w:pPr>
            <w:r>
              <w:t>Santa Monica College is compliant with the policy on institutional degrees and credits. All Associate degrees require a minimum of 18 units in the major/area of emphasis, general education coursework, and electives to total at least 60 semester units. The Associate degree generally requires two years of full time study. The College offers certificate of achievement programs that require concentrated study in a particular field or discipline. Certificate programs generally require less than two years of full time study. The proposed baccalaureate degree will require a minimum of 120 semester units and four years to complete.</w:t>
            </w:r>
          </w:p>
          <w:p w14:paraId="0B572C6A" w14:textId="37CA503E" w:rsidR="00720091" w:rsidRDefault="00720091" w:rsidP="00894438">
            <w:pPr>
              <w:pStyle w:val="TableStyle"/>
              <w:jc w:val="left"/>
            </w:pPr>
            <w:r>
              <w:lastRenderedPageBreak/>
              <w:t>(See IIA.5, IIA.12, IIA.13)</w:t>
            </w:r>
          </w:p>
        </w:tc>
      </w:tr>
      <w:tr w:rsidR="00720091" w14:paraId="4973EB02" w14:textId="77777777" w:rsidTr="00EF407A">
        <w:tc>
          <w:tcPr>
            <w:tcW w:w="8990" w:type="dxa"/>
          </w:tcPr>
          <w:p w14:paraId="48302FE0" w14:textId="01028565" w:rsidR="00720091" w:rsidRDefault="00720091" w:rsidP="009D2ABD">
            <w:pPr>
              <w:pStyle w:val="TableStyle"/>
              <w:jc w:val="left"/>
            </w:pPr>
            <w:r>
              <w:lastRenderedPageBreak/>
              <w:t>The assignment of credit hours and degree program lengths is verified by the institution, and is reliable and accurate across classroom based courses, laboratory classes, distance education classes, and for courses that involve clinical practice (if applicable to the institution).</w:t>
            </w:r>
          </w:p>
          <w:p w14:paraId="7588320C" w14:textId="77777777" w:rsidR="00720091" w:rsidRDefault="00720091" w:rsidP="00061B3D">
            <w:pPr>
              <w:pStyle w:val="Normalwithspacebetween"/>
            </w:pPr>
            <w:r>
              <w:t xml:space="preserve">Units are determined using the commonly accepted Carnegie unit methodology. The academic year is divided into two semesters of 16 weeks plus a week of final exams and two intersessions (summer and winter). The College operates on a “compressed calendar” with the approval of the Chancellor’s Office. When a course is offered in fewer than 16 weeks, the total instructional hours remain the same as the “semester equivalent.” That is, the number of hours of instruction per week is increased when the course is offered in fewer weeks. </w:t>
            </w:r>
          </w:p>
          <w:p w14:paraId="04F4F6F1" w14:textId="77777777" w:rsidR="00720091" w:rsidRDefault="00720091" w:rsidP="00061B3D">
            <w:pPr>
              <w:pStyle w:val="Normalwithspacebetween"/>
            </w:pPr>
            <w:r>
              <w:t xml:space="preserve">When courses go through the curriculum approval and/or revision process, the units and hours are reviewed by the committee to confirm that they are correct and appropriate per common practice in higher education. </w:t>
            </w:r>
          </w:p>
          <w:p w14:paraId="65A36C05" w14:textId="7DE67F15" w:rsidR="00720091" w:rsidRDefault="00720091" w:rsidP="00167F0B">
            <w:pPr>
              <w:pStyle w:val="TableStyle"/>
              <w:jc w:val="left"/>
            </w:pPr>
            <w:r>
              <w:t xml:space="preserve">(See </w:t>
            </w:r>
            <w:r w:rsidRPr="00167F0B">
              <w:t>Standard IIA</w:t>
            </w:r>
            <w:r>
              <w:t>.9, IIA.10, IIA.12 and IIA.13)</w:t>
            </w:r>
          </w:p>
        </w:tc>
      </w:tr>
      <w:tr w:rsidR="00720091" w14:paraId="45185186" w14:textId="77777777" w:rsidTr="00EF407A">
        <w:tc>
          <w:tcPr>
            <w:tcW w:w="8990" w:type="dxa"/>
          </w:tcPr>
          <w:p w14:paraId="14B7C554" w14:textId="32FC04CD" w:rsidR="00720091" w:rsidRDefault="00720091" w:rsidP="005B0C71">
            <w:pPr>
              <w:pStyle w:val="TableStyle"/>
              <w:tabs>
                <w:tab w:val="left" w:pos="3080"/>
              </w:tabs>
              <w:jc w:val="left"/>
            </w:pPr>
            <w:r>
              <w:t>Tuition is consistent across degree programs (or there is a rational basis for</w:t>
            </w:r>
            <w:r w:rsidR="00355ABC">
              <w:t xml:space="preserve"> any program specific tuition).</w:t>
            </w:r>
          </w:p>
          <w:p w14:paraId="5CF1D8D5" w14:textId="59A7A7DE" w:rsidR="00720091" w:rsidRPr="007314F8" w:rsidRDefault="00720091" w:rsidP="00355ABC">
            <w:pPr>
              <w:pStyle w:val="Normalwithspacebetween"/>
            </w:pPr>
            <w:r w:rsidRPr="00061B3D">
              <w:t xml:space="preserve">Enrollment and tuition fees are described in the </w:t>
            </w:r>
            <w:hyperlink r:id="rId93" w:history="1">
              <w:r w:rsidRPr="00891EDA">
                <w:rPr>
                  <w:rStyle w:val="Hyperlink"/>
                </w:rPr>
                <w:t>college catalog</w:t>
              </w:r>
            </w:hyperlink>
            <w:r>
              <w:rPr>
                <w:rStyle w:val="EndnoteReference"/>
                <w:rFonts w:cs="Times New Roman"/>
              </w:rPr>
              <w:endnoteReference w:id="43"/>
            </w:r>
            <w:r w:rsidRPr="00061B3D">
              <w:t xml:space="preserve"> and apply to all credit courses and degree program.</w:t>
            </w:r>
          </w:p>
        </w:tc>
      </w:tr>
      <w:tr w:rsidR="00720091" w14:paraId="6B99538D" w14:textId="77777777" w:rsidTr="00EF407A">
        <w:tc>
          <w:tcPr>
            <w:tcW w:w="8990" w:type="dxa"/>
          </w:tcPr>
          <w:p w14:paraId="3BD93091" w14:textId="77777777" w:rsidR="00720091" w:rsidRDefault="00720091" w:rsidP="005B0C71">
            <w:pPr>
              <w:pStyle w:val="TableStyle"/>
              <w:tabs>
                <w:tab w:val="left" w:pos="3080"/>
              </w:tabs>
              <w:jc w:val="left"/>
            </w:pPr>
            <w:r>
              <w:t>Any clock hour conversions to credit hours adhere to the Department of Education’s conversion formula, both in policy and procedure, and in practice.</w:t>
            </w:r>
          </w:p>
          <w:p w14:paraId="1628F382" w14:textId="77777777" w:rsidR="00720091" w:rsidRPr="00061B3D" w:rsidRDefault="00720091" w:rsidP="005B0C71">
            <w:pPr>
              <w:pStyle w:val="TableStyle"/>
              <w:tabs>
                <w:tab w:val="left" w:pos="3080"/>
              </w:tabs>
              <w:jc w:val="left"/>
              <w:rPr>
                <w:rFonts w:ascii="Times New Roman" w:hAnsi="Times New Roman" w:cs="Times New Roman"/>
              </w:rPr>
            </w:pPr>
          </w:p>
          <w:p w14:paraId="551423EB" w14:textId="77777777" w:rsidR="00720091" w:rsidRDefault="00720091" w:rsidP="005B0C71">
            <w:pPr>
              <w:pStyle w:val="TableStyle"/>
              <w:tabs>
                <w:tab w:val="left" w:pos="3080"/>
              </w:tabs>
              <w:jc w:val="left"/>
              <w:rPr>
                <w:rFonts w:ascii="Times New Roman" w:hAnsi="Times New Roman" w:cs="Times New Roman"/>
              </w:rPr>
            </w:pPr>
            <w:r w:rsidRPr="00345EDB">
              <w:rPr>
                <w:rFonts w:ascii="Times New Roman" w:hAnsi="Times New Roman" w:cs="Times New Roman"/>
              </w:rPr>
              <w:t xml:space="preserve">The College does not </w:t>
            </w:r>
            <w:r>
              <w:rPr>
                <w:rFonts w:ascii="Times New Roman" w:hAnsi="Times New Roman" w:cs="Times New Roman"/>
              </w:rPr>
              <w:t>award credit based on the clock-to-credit hour conversion formula.</w:t>
            </w:r>
          </w:p>
          <w:p w14:paraId="27A477EC" w14:textId="5C0C0B23" w:rsidR="00720091" w:rsidRPr="00345EDB" w:rsidRDefault="00720091" w:rsidP="005B0C71">
            <w:pPr>
              <w:pStyle w:val="TableStyle"/>
              <w:tabs>
                <w:tab w:val="left" w:pos="3080"/>
              </w:tabs>
              <w:jc w:val="left"/>
              <w:rPr>
                <w:rFonts w:ascii="Times New Roman" w:hAnsi="Times New Roman" w:cs="Times New Roman"/>
              </w:rPr>
            </w:pPr>
          </w:p>
        </w:tc>
      </w:tr>
      <w:tr w:rsidR="00720091" w14:paraId="365F31B8" w14:textId="77777777" w:rsidTr="00EF407A">
        <w:tc>
          <w:tcPr>
            <w:tcW w:w="8990" w:type="dxa"/>
          </w:tcPr>
          <w:p w14:paraId="6D2A3755" w14:textId="77777777" w:rsidR="00720091" w:rsidRDefault="00720091" w:rsidP="005B0C71">
            <w:pPr>
              <w:pStyle w:val="TableStyle"/>
              <w:tabs>
                <w:tab w:val="left" w:pos="3080"/>
              </w:tabs>
              <w:jc w:val="left"/>
            </w:pPr>
            <w:r>
              <w:t>The institution demonstrates compliance with the Commission Policy on Institutional Degrees and Credits.</w:t>
            </w:r>
          </w:p>
          <w:p w14:paraId="63AAEB6C" w14:textId="77777777" w:rsidR="00720091" w:rsidRPr="00345EDB" w:rsidRDefault="00720091" w:rsidP="005B0C71">
            <w:pPr>
              <w:pStyle w:val="TableStyle"/>
              <w:tabs>
                <w:tab w:val="left" w:pos="3080"/>
              </w:tabs>
              <w:jc w:val="left"/>
              <w:rPr>
                <w:rFonts w:ascii="Times New Roman" w:hAnsi="Times New Roman" w:cs="Times New Roman"/>
              </w:rPr>
            </w:pPr>
          </w:p>
          <w:p w14:paraId="2F166FDE" w14:textId="137F7A28" w:rsidR="00720091" w:rsidRPr="00345EDB" w:rsidRDefault="00720091" w:rsidP="005B0C71">
            <w:pPr>
              <w:pStyle w:val="TableStyle"/>
              <w:tabs>
                <w:tab w:val="left" w:pos="3080"/>
              </w:tabs>
              <w:jc w:val="left"/>
              <w:rPr>
                <w:rFonts w:ascii="Times New Roman" w:hAnsi="Times New Roman" w:cs="Times New Roman"/>
              </w:rPr>
            </w:pPr>
            <w:r>
              <w:rPr>
                <w:rFonts w:ascii="Times New Roman" w:hAnsi="Times New Roman" w:cs="Times New Roman"/>
              </w:rPr>
              <w:t>Santa Monica College complies with the Commission Policy on Institutional Degrees and Credits as described above.</w:t>
            </w:r>
          </w:p>
          <w:p w14:paraId="07999937" w14:textId="77777777" w:rsidR="00720091" w:rsidRPr="00345EDB" w:rsidRDefault="00720091" w:rsidP="005B0C71">
            <w:pPr>
              <w:pStyle w:val="TableStyle"/>
              <w:tabs>
                <w:tab w:val="left" w:pos="3080"/>
              </w:tabs>
              <w:jc w:val="left"/>
              <w:rPr>
                <w:rFonts w:ascii="Times New Roman" w:hAnsi="Times New Roman" w:cs="Times New Roman"/>
              </w:rPr>
            </w:pPr>
          </w:p>
          <w:p w14:paraId="617A92D0" w14:textId="794EEB6F" w:rsidR="00720091" w:rsidRDefault="00720091" w:rsidP="005B0C71">
            <w:pPr>
              <w:pStyle w:val="TableStyle"/>
              <w:tabs>
                <w:tab w:val="left" w:pos="3080"/>
              </w:tabs>
              <w:jc w:val="left"/>
            </w:pPr>
            <w:r>
              <w:t xml:space="preserve">(See ER 3 and Standard </w:t>
            </w:r>
            <w:r w:rsidRPr="00345EDB">
              <w:t>IIA</w:t>
            </w:r>
            <w:r>
              <w:t>)</w:t>
            </w:r>
          </w:p>
        </w:tc>
      </w:tr>
    </w:tbl>
    <w:p w14:paraId="09EA811A" w14:textId="0EC7E00F" w:rsidR="00720091" w:rsidRDefault="00720091" w:rsidP="00127461">
      <w:pPr>
        <w:pStyle w:val="Heading3"/>
        <w:keepLines/>
      </w:pPr>
      <w:r>
        <w:lastRenderedPageBreak/>
        <w:t>Policy on Transfer of Credit</w:t>
      </w:r>
    </w:p>
    <w:p w14:paraId="348FC0F7" w14:textId="477CD578" w:rsidR="00720091" w:rsidRDefault="00720091" w:rsidP="00127461">
      <w:pPr>
        <w:pStyle w:val="Normalwithspacebetween"/>
        <w:keepNext/>
      </w:pPr>
      <w:r>
        <w:t xml:space="preserve">The College provides very clear </w:t>
      </w:r>
      <w:hyperlink r:id="rId94" w:history="1">
        <w:r w:rsidRPr="00891EDA">
          <w:rPr>
            <w:rStyle w:val="Hyperlink"/>
          </w:rPr>
          <w:t>policies on transfer of credit</w:t>
        </w:r>
      </w:hyperlink>
      <w:r>
        <w:t>,</w:t>
      </w:r>
      <w:r>
        <w:rPr>
          <w:rStyle w:val="EndnoteReference"/>
        </w:rPr>
        <w:endnoteReference w:id="44"/>
      </w:r>
      <w:r>
        <w:t xml:space="preserve"> develops and implements a fair process for considering transfer of credit, and makes these policies all of this known to students, the public, and other institutions through the </w:t>
      </w:r>
      <w:hyperlink r:id="rId95" w:history="1">
        <w:r w:rsidRPr="0085765E">
          <w:rPr>
            <w:rStyle w:val="Hyperlink"/>
          </w:rPr>
          <w:t>college catalog</w:t>
        </w:r>
      </w:hyperlink>
      <w:r>
        <w:rPr>
          <w:rStyle w:val="EndnoteReference"/>
        </w:rPr>
        <w:endnoteReference w:id="45"/>
      </w:r>
      <w:r>
        <w:t xml:space="preserve"> and the </w:t>
      </w:r>
      <w:hyperlink r:id="rId96" w:history="1">
        <w:r w:rsidRPr="0085765E">
          <w:rPr>
            <w:rStyle w:val="Hyperlink"/>
          </w:rPr>
          <w:t>college website</w:t>
        </w:r>
      </w:hyperlink>
      <w:r>
        <w:t>.</w:t>
      </w:r>
      <w:r>
        <w:rPr>
          <w:rStyle w:val="EndnoteReference"/>
        </w:rPr>
        <w:endnoteReference w:id="46"/>
      </w:r>
    </w:p>
    <w:tbl>
      <w:tblPr>
        <w:tblStyle w:val="TableGrid"/>
        <w:tblW w:w="0" w:type="auto"/>
        <w:tblLook w:val="04A0" w:firstRow="1" w:lastRow="0" w:firstColumn="1" w:lastColumn="0" w:noHBand="0" w:noVBand="1"/>
      </w:tblPr>
      <w:tblGrid>
        <w:gridCol w:w="8990"/>
      </w:tblGrid>
      <w:tr w:rsidR="00720091" w14:paraId="16EBD846" w14:textId="77777777" w:rsidTr="00EF407A">
        <w:tc>
          <w:tcPr>
            <w:tcW w:w="8990" w:type="dxa"/>
            <w:vAlign w:val="center"/>
          </w:tcPr>
          <w:p w14:paraId="1495075B" w14:textId="77777777" w:rsidR="00720091" w:rsidRPr="005B0C71" w:rsidRDefault="00720091" w:rsidP="005B0C71">
            <w:pPr>
              <w:pStyle w:val="TableStyle"/>
              <w:keepNext/>
              <w:tabs>
                <w:tab w:val="left" w:pos="3080"/>
              </w:tabs>
              <w:rPr>
                <w:b/>
              </w:rPr>
            </w:pPr>
            <w:r w:rsidRPr="005B0C71">
              <w:rPr>
                <w:b/>
              </w:rPr>
              <w:t>Transfer Policies</w:t>
            </w:r>
          </w:p>
          <w:p w14:paraId="674681BB" w14:textId="73AA8766" w:rsidR="00720091" w:rsidRDefault="00720091" w:rsidP="005B0C71">
            <w:pPr>
              <w:pStyle w:val="TableStyle"/>
              <w:tabs>
                <w:tab w:val="left" w:pos="3080"/>
              </w:tabs>
            </w:pPr>
            <w:r>
              <w:t>Regulation citations: 602.16(a)(1)(viii); 602.17(a)(3); 602.24(e); 668.43(a)(ii).</w:t>
            </w:r>
          </w:p>
        </w:tc>
      </w:tr>
      <w:tr w:rsidR="00720091" w14:paraId="13690AFA" w14:textId="77777777" w:rsidTr="00EF407A">
        <w:tc>
          <w:tcPr>
            <w:tcW w:w="8990" w:type="dxa"/>
          </w:tcPr>
          <w:p w14:paraId="34383F93" w14:textId="2652A966" w:rsidR="00720091" w:rsidRDefault="00720091" w:rsidP="005B0C71">
            <w:pPr>
              <w:pStyle w:val="TableStyle"/>
              <w:tabs>
                <w:tab w:val="left" w:pos="3080"/>
              </w:tabs>
              <w:jc w:val="left"/>
            </w:pPr>
            <w:r>
              <w:t>Transfer policies are appropriately disclosed to students and to the public.</w:t>
            </w:r>
          </w:p>
          <w:p w14:paraId="7203A94A" w14:textId="1342A90F" w:rsidR="00720091" w:rsidRPr="008464DC" w:rsidRDefault="00720091" w:rsidP="00061B3D">
            <w:pPr>
              <w:pStyle w:val="Normalwithspacebetween"/>
            </w:pPr>
            <w:r>
              <w:t xml:space="preserve">These policies are stipulated in Administrative Regulations 4111.5 and 4111.6. Policies and procedures are also clearly articulated in the college catalog and available from Admissions and Records as well as the Welcome Center and Counseling Center. The College has recently invested in “pre-evaluation” services for students matriculating to Santa Monica College with coursework from other institutions of higher education. </w:t>
            </w:r>
          </w:p>
          <w:p w14:paraId="3C11D6C5" w14:textId="300D1329" w:rsidR="00720091" w:rsidRDefault="00720091" w:rsidP="00127461">
            <w:pPr>
              <w:pStyle w:val="TableStyle"/>
              <w:tabs>
                <w:tab w:val="left" w:pos="3080"/>
              </w:tabs>
              <w:jc w:val="left"/>
            </w:pPr>
            <w:r>
              <w:t xml:space="preserve">(See </w:t>
            </w:r>
            <w:r w:rsidRPr="00127461">
              <w:t xml:space="preserve">Standard </w:t>
            </w:r>
            <w:r>
              <w:t>IIA.10, IIC.5)</w:t>
            </w:r>
          </w:p>
        </w:tc>
      </w:tr>
      <w:tr w:rsidR="00720091" w14:paraId="411C4865" w14:textId="77777777" w:rsidTr="00EF407A">
        <w:tc>
          <w:tcPr>
            <w:tcW w:w="8990" w:type="dxa"/>
          </w:tcPr>
          <w:p w14:paraId="581779D2" w14:textId="6AE9668B" w:rsidR="00720091" w:rsidRDefault="00720091" w:rsidP="005B0C71">
            <w:pPr>
              <w:pStyle w:val="TableStyle"/>
              <w:tabs>
                <w:tab w:val="left" w:pos="3080"/>
              </w:tabs>
              <w:jc w:val="left"/>
            </w:pPr>
            <w:r>
              <w:t>Policies contain information about the criteria the institution uses to accept credits for transfer.</w:t>
            </w:r>
          </w:p>
          <w:p w14:paraId="7FAA1687" w14:textId="77777777" w:rsidR="00720091" w:rsidRDefault="00720091" w:rsidP="00716D3D">
            <w:pPr>
              <w:rPr>
                <w:rFonts w:cs="Times New Roman"/>
              </w:rPr>
            </w:pPr>
          </w:p>
          <w:p w14:paraId="6BE67DBA" w14:textId="3F8642BC" w:rsidR="00720091" w:rsidRDefault="00720091" w:rsidP="00716D3D">
            <w:r>
              <w:rPr>
                <w:rFonts w:cs="Times New Roman"/>
              </w:rPr>
              <w:t>For continuing students coming from other colleges and universities, it is the College's policy to grant credit for most courses taken at other accredited institutions of higher education,</w:t>
            </w:r>
            <w:r>
              <w:t xml:space="preserve"> based upon thorough review of the student transcript(s) as well as related information as needed.</w:t>
            </w:r>
            <w:r>
              <w:rPr>
                <w:rFonts w:cs="Times New Roman"/>
              </w:rPr>
              <w:t xml:space="preserve">  The college catalog includes the </w:t>
            </w:r>
            <w:r w:rsidRPr="00716D3D">
              <w:t xml:space="preserve">College’s </w:t>
            </w:r>
            <w:hyperlink r:id="rId97" w:history="1">
              <w:r w:rsidRPr="0085765E">
                <w:rPr>
                  <w:rStyle w:val="Hyperlink"/>
                </w:rPr>
                <w:t>policies</w:t>
              </w:r>
            </w:hyperlink>
            <w:r>
              <w:rPr>
                <w:rStyle w:val="EndnoteReference"/>
              </w:rPr>
              <w:endnoteReference w:id="47"/>
            </w:r>
            <w:r>
              <w:rPr>
                <w:rFonts w:cs="Times New Roman"/>
              </w:rPr>
              <w:t xml:space="preserve"> with regard to acceptance of credit from other colleges, advanced placement (AP) examinations, College Level Examination Program (CLEP), and military service credit.  Counselors and Enrollment Services evaluators, in consultation with the appropriate department chair or faculty leader, review courses when there are questions regarding course equivalency from other institutions.  In these instances, students are requested to provide course descriptions, syllabi, and other relevant documents to ensure alignment of learning outcomes.  In addition, the Articulation Officer maintains complete records for course equivalency.  These records are maintained electronically so that counselors and evaluators can immediately access the evaluation decisions.  The College has increased the number of </w:t>
            </w:r>
            <w:r w:rsidRPr="00716D3D">
              <w:t>articulation agreements</w:t>
            </w:r>
            <w:r>
              <w:rPr>
                <w:rFonts w:cs="Times New Roman"/>
              </w:rPr>
              <w:t xml:space="preserve"> with institutions abroad since 2009.</w:t>
            </w:r>
          </w:p>
          <w:p w14:paraId="32292209" w14:textId="77777777" w:rsidR="00720091" w:rsidRDefault="00720091" w:rsidP="00127461">
            <w:pPr>
              <w:pStyle w:val="TableStyle"/>
              <w:tabs>
                <w:tab w:val="left" w:pos="3080"/>
              </w:tabs>
              <w:jc w:val="left"/>
            </w:pPr>
          </w:p>
          <w:p w14:paraId="31C080DC" w14:textId="354E46BC" w:rsidR="00720091" w:rsidRDefault="00720091" w:rsidP="00127461">
            <w:pPr>
              <w:pStyle w:val="TableStyle"/>
              <w:tabs>
                <w:tab w:val="left" w:pos="3080"/>
              </w:tabs>
              <w:jc w:val="left"/>
            </w:pPr>
            <w:r>
              <w:t xml:space="preserve">(See </w:t>
            </w:r>
            <w:r w:rsidRPr="00127461">
              <w:t xml:space="preserve">Standard </w:t>
            </w:r>
            <w:r>
              <w:t>IIA.10)</w:t>
            </w:r>
          </w:p>
        </w:tc>
      </w:tr>
      <w:tr w:rsidR="00720091" w14:paraId="2C3A2F3A" w14:textId="77777777" w:rsidTr="00EF407A">
        <w:tc>
          <w:tcPr>
            <w:tcW w:w="8990" w:type="dxa"/>
          </w:tcPr>
          <w:p w14:paraId="0C952A20" w14:textId="77777777" w:rsidR="00720091" w:rsidRDefault="00720091" w:rsidP="005B0C71">
            <w:pPr>
              <w:pStyle w:val="TableStyle"/>
              <w:tabs>
                <w:tab w:val="left" w:pos="3080"/>
              </w:tabs>
              <w:jc w:val="left"/>
            </w:pPr>
            <w:r>
              <w:t>The institution complies with the Commission Policy on Transfer of Credit.</w:t>
            </w:r>
          </w:p>
          <w:p w14:paraId="4E5AD00D" w14:textId="77777777" w:rsidR="00720091" w:rsidRDefault="00720091" w:rsidP="005B0C71">
            <w:pPr>
              <w:pStyle w:val="TableStyle"/>
              <w:tabs>
                <w:tab w:val="left" w:pos="3080"/>
              </w:tabs>
              <w:jc w:val="left"/>
              <w:rPr>
                <w:rFonts w:ascii="Times New Roman" w:hAnsi="Times New Roman" w:cs="Times New Roman"/>
              </w:rPr>
            </w:pPr>
          </w:p>
          <w:p w14:paraId="5B36561F" w14:textId="77777777" w:rsidR="00720091" w:rsidRDefault="00720091" w:rsidP="005B0C71">
            <w:pPr>
              <w:pStyle w:val="TableStyle"/>
              <w:tabs>
                <w:tab w:val="left" w:pos="3080"/>
              </w:tabs>
              <w:jc w:val="left"/>
              <w:rPr>
                <w:rFonts w:ascii="Times New Roman" w:hAnsi="Times New Roman" w:cs="Times New Roman"/>
                <w:color w:val="000000" w:themeColor="text1"/>
              </w:rPr>
            </w:pPr>
            <w:r>
              <w:rPr>
                <w:rFonts w:ascii="Times New Roman" w:hAnsi="Times New Roman" w:cs="Times New Roman"/>
              </w:rPr>
              <w:t xml:space="preserve">The College complies with this policy.  Santa Monica College maintains 102 articulation agreements with four-year universities, which include 23 California State University campuses, 10 University of California campuses, 35 California private institutions, 11 online bachelor programs, 7 international universities, and 16 out-of-state institutions.  These agreements include major preparation, general education, course-by-course lists, and transferable-course agreements that are available to students online or through the </w:t>
            </w:r>
            <w:r w:rsidRPr="00681EEE">
              <w:rPr>
                <w:rFonts w:ascii="Times New Roman" w:hAnsi="Times New Roman"/>
              </w:rPr>
              <w:t>Articulation System</w:t>
            </w:r>
            <w:r>
              <w:rPr>
                <w:rFonts w:ascii="Times New Roman" w:hAnsi="Times New Roman" w:cs="Times New Roman"/>
              </w:rPr>
              <w:t xml:space="preserve"> Stimulating Inter-institutional Student Transfer </w:t>
            </w:r>
            <w:r w:rsidRPr="009E7947">
              <w:rPr>
                <w:rFonts w:ascii="Times New Roman" w:hAnsi="Times New Roman" w:cs="Times New Roman"/>
                <w:color w:val="000000" w:themeColor="text1"/>
              </w:rPr>
              <w:t>(</w:t>
            </w:r>
            <w:hyperlink r:id="rId98">
              <w:r w:rsidRPr="009E7947">
                <w:rPr>
                  <w:rFonts w:ascii="Times New Roman" w:hAnsi="Times New Roman" w:cs="Times New Roman"/>
                  <w:color w:val="000000" w:themeColor="text1"/>
                </w:rPr>
                <w:t>ASSIST</w:t>
              </w:r>
            </w:hyperlink>
            <w:r w:rsidRPr="009E7947">
              <w:rPr>
                <w:rFonts w:ascii="Times New Roman" w:hAnsi="Times New Roman" w:cs="Times New Roman"/>
                <w:color w:val="000000" w:themeColor="text1"/>
              </w:rPr>
              <w:t>).</w:t>
            </w:r>
            <w:r>
              <w:rPr>
                <w:rFonts w:ascii="Times New Roman" w:hAnsi="Times New Roman" w:cs="Times New Roman"/>
                <w:color w:val="000000" w:themeColor="text1"/>
              </w:rPr>
              <w:t xml:space="preserve">  </w:t>
            </w:r>
          </w:p>
          <w:p w14:paraId="716FBD75" w14:textId="77777777" w:rsidR="00720091" w:rsidRDefault="00720091" w:rsidP="005B0C71">
            <w:pPr>
              <w:pStyle w:val="TableStyle"/>
              <w:tabs>
                <w:tab w:val="left" w:pos="3080"/>
              </w:tabs>
              <w:jc w:val="left"/>
              <w:rPr>
                <w:rFonts w:ascii="Times New Roman" w:hAnsi="Times New Roman" w:cs="Times New Roman"/>
                <w:color w:val="000000" w:themeColor="text1"/>
              </w:rPr>
            </w:pPr>
          </w:p>
          <w:p w14:paraId="57A0E969" w14:textId="500B24A6" w:rsidR="00720091" w:rsidRPr="00681EEE" w:rsidRDefault="00720091" w:rsidP="00681EEE">
            <w:pPr>
              <w:rPr>
                <w:rFonts w:cs="Times New Roman"/>
                <w:color w:val="000000" w:themeColor="text1"/>
              </w:rPr>
            </w:pPr>
            <w:r>
              <w:rPr>
                <w:rFonts w:cs="Times New Roman"/>
                <w:color w:val="000000" w:themeColor="text1"/>
              </w:rPr>
              <w:t xml:space="preserve">The College also carefully evaluates the credits from “sending” institutions to ensure that the credits presented reflect the same educational quality provided by Santa Monica College programs. </w:t>
            </w:r>
            <w:r w:rsidRPr="00681EEE">
              <w:rPr>
                <w:rFonts w:cs="Times New Roman"/>
                <w:color w:val="000000" w:themeColor="text1"/>
              </w:rPr>
              <w:t xml:space="preserve">Counselors use the </w:t>
            </w:r>
            <w:hyperlink r:id="rId99" w:history="1">
              <w:r w:rsidRPr="00681EEE">
                <w:rPr>
                  <w:rFonts w:cs="Times New Roman"/>
                  <w:color w:val="000000" w:themeColor="text1"/>
                </w:rPr>
                <w:t>Transcript Evaluation Request Log</w:t>
              </w:r>
            </w:hyperlink>
            <w:r w:rsidRPr="00681EEE">
              <w:rPr>
                <w:rFonts w:cs="Times New Roman"/>
                <w:color w:val="000000" w:themeColor="text1"/>
              </w:rPr>
              <w:t xml:space="preserve"> (a database of prior transcript decisions), course catalogs, and consultations with the Articulation Officer to determine transferability of previous college coursework.  Information is entered into the electronic </w:t>
            </w:r>
            <w:hyperlink r:id="rId100" w:history="1">
              <w:r w:rsidRPr="00681EEE">
                <w:rPr>
                  <w:rFonts w:cs="Times New Roman"/>
                  <w:color w:val="000000" w:themeColor="text1"/>
                </w:rPr>
                <w:t>“Degree Audit” evaluation system</w:t>
              </w:r>
            </w:hyperlink>
            <w:r>
              <w:rPr>
                <w:rFonts w:cs="Times New Roman"/>
                <w:color w:val="000000" w:themeColor="text1"/>
              </w:rPr>
              <w:t>,</w:t>
            </w:r>
            <w:r w:rsidRPr="00681EEE">
              <w:rPr>
                <w:rFonts w:cs="Times New Roman"/>
                <w:color w:val="000000" w:themeColor="text1"/>
              </w:rPr>
              <w:t xml:space="preserve"> which is linked to the MyEdPlan system for accuracy.</w:t>
            </w:r>
            <w:r>
              <w:rPr>
                <w:rFonts w:cs="Times New Roman"/>
                <w:color w:val="000000" w:themeColor="text1"/>
              </w:rPr>
              <w:t xml:space="preserve">  This system ensures that a consistent, fair approach is used when assessing the students’ incoming credits.</w:t>
            </w:r>
          </w:p>
          <w:p w14:paraId="0097D5F7" w14:textId="77777777" w:rsidR="00720091" w:rsidRDefault="00720091" w:rsidP="005B0C71">
            <w:pPr>
              <w:pStyle w:val="TableStyle"/>
              <w:tabs>
                <w:tab w:val="left" w:pos="3080"/>
              </w:tabs>
              <w:jc w:val="left"/>
            </w:pPr>
          </w:p>
          <w:p w14:paraId="52AF5AC6" w14:textId="18DBD944" w:rsidR="00720091" w:rsidRDefault="00720091" w:rsidP="00127461">
            <w:pPr>
              <w:pStyle w:val="TableStyle"/>
              <w:tabs>
                <w:tab w:val="left" w:pos="3080"/>
              </w:tabs>
              <w:jc w:val="left"/>
            </w:pPr>
            <w:r>
              <w:t>(See Standards IIA.10 and IIC.6)</w:t>
            </w:r>
          </w:p>
        </w:tc>
      </w:tr>
    </w:tbl>
    <w:p w14:paraId="1B97495E" w14:textId="4ABFA74B" w:rsidR="00720091" w:rsidRDefault="00720091" w:rsidP="00BE0DF5">
      <w:pPr>
        <w:pStyle w:val="Heading3"/>
      </w:pPr>
      <w:r>
        <w:lastRenderedPageBreak/>
        <w:t>Policy on Distance Education and on Correspondence Education</w:t>
      </w:r>
    </w:p>
    <w:p w14:paraId="5B52DCFC" w14:textId="57B8BF47" w:rsidR="00720091" w:rsidRDefault="00720091" w:rsidP="00BE0DF5">
      <w:pPr>
        <w:pStyle w:val="Normalwithspacebetween"/>
        <w:keepNext/>
      </w:pPr>
      <w:r>
        <w:t xml:space="preserve">Santa Monica College has offered courses via distance education since 1999.  Courses developed for delivery via distance education meet the same rigorous standards as on ground courses.  Because they are built from on ground courses, they share the same Course Outline of Record, go through the same curriculum approval process and assess the </w:t>
      </w:r>
      <w:r w:rsidRPr="00246BAF">
        <w:t xml:space="preserve">same </w:t>
      </w:r>
      <w:r>
        <w:t>SLOs.</w:t>
      </w:r>
    </w:p>
    <w:tbl>
      <w:tblPr>
        <w:tblStyle w:val="TableGrid"/>
        <w:tblW w:w="0" w:type="auto"/>
        <w:tblLook w:val="04A0" w:firstRow="1" w:lastRow="0" w:firstColumn="1" w:lastColumn="0" w:noHBand="0" w:noVBand="1"/>
      </w:tblPr>
      <w:tblGrid>
        <w:gridCol w:w="8990"/>
      </w:tblGrid>
      <w:tr w:rsidR="00720091" w14:paraId="3F92770D" w14:textId="77777777" w:rsidTr="006F2A21">
        <w:tc>
          <w:tcPr>
            <w:tcW w:w="8990" w:type="dxa"/>
            <w:vAlign w:val="center"/>
          </w:tcPr>
          <w:p w14:paraId="39A378C8" w14:textId="4F5D6147" w:rsidR="00720091" w:rsidRPr="005B0C71" w:rsidRDefault="00720091" w:rsidP="002B6FD1">
            <w:pPr>
              <w:pStyle w:val="TableStyle"/>
              <w:keepNext/>
              <w:tabs>
                <w:tab w:val="left" w:pos="3080"/>
              </w:tabs>
              <w:rPr>
                <w:b/>
              </w:rPr>
            </w:pPr>
            <w:r w:rsidRPr="005B0C71">
              <w:rPr>
                <w:b/>
              </w:rPr>
              <w:t>Distance Education and Correspondence Education</w:t>
            </w:r>
          </w:p>
          <w:p w14:paraId="07CC3178" w14:textId="5994AC76" w:rsidR="00720091" w:rsidRDefault="00720091" w:rsidP="002B6FD1">
            <w:pPr>
              <w:pStyle w:val="TableStyle"/>
              <w:keepNext/>
              <w:tabs>
                <w:tab w:val="left" w:pos="3080"/>
              </w:tabs>
            </w:pPr>
            <w:r>
              <w:t>Regulation citations: 602.16(a)(1)(iv), (vi); 602.17(g); 668.38</w:t>
            </w:r>
          </w:p>
        </w:tc>
      </w:tr>
      <w:tr w:rsidR="00720091" w14:paraId="1B1E3A97" w14:textId="77777777" w:rsidTr="00EB0DC9">
        <w:tc>
          <w:tcPr>
            <w:tcW w:w="8990" w:type="dxa"/>
          </w:tcPr>
          <w:p w14:paraId="5EADA459" w14:textId="51DF2C2E" w:rsidR="00720091" w:rsidRDefault="00720091" w:rsidP="005B0C71">
            <w:pPr>
              <w:pStyle w:val="TableStyle"/>
              <w:tabs>
                <w:tab w:val="left" w:pos="3080"/>
              </w:tabs>
              <w:jc w:val="left"/>
            </w:pPr>
            <w:r>
              <w:t>The institution has policies and procedures for defining and classifying a course as offered by distance education or correspondence education, in alignment with USDE definitions.</w:t>
            </w:r>
          </w:p>
          <w:p w14:paraId="7F00449E" w14:textId="49270D96" w:rsidR="00720091" w:rsidRPr="004B204D" w:rsidRDefault="00720091" w:rsidP="002F2CA0">
            <w:pPr>
              <w:pStyle w:val="Normalwithspacebetween"/>
            </w:pPr>
            <w:r w:rsidRPr="004B204D">
              <w:t>Santa Monica College does not offer</w:t>
            </w:r>
            <w:r>
              <w:t xml:space="preserve"> correspondence education. The C</w:t>
            </w:r>
            <w:r w:rsidRPr="004B204D">
              <w:t xml:space="preserve">ollege is in compliance with the </w:t>
            </w:r>
            <w:r>
              <w:t>C</w:t>
            </w:r>
            <w:r w:rsidRPr="004B204D">
              <w:t xml:space="preserve">ommission </w:t>
            </w:r>
            <w:r>
              <w:t>P</w:t>
            </w:r>
            <w:r w:rsidRPr="004B204D">
              <w:t>olicy on Distance Education.</w:t>
            </w:r>
          </w:p>
          <w:p w14:paraId="48555F47" w14:textId="77777777" w:rsidR="00720091" w:rsidRPr="004B204D" w:rsidRDefault="00720091" w:rsidP="002F2CA0">
            <w:pPr>
              <w:pStyle w:val="Normalwithspacebetween"/>
            </w:pPr>
            <w:r w:rsidRPr="004B204D">
              <w:t>Every course and every certificate or degree program offered for credit at Santa Monica College, including those offered via distance education, is subject to a rigorous curriculum approval process upon inception.  The process, carried out by the Curriculum Committee, ensures that all instructional offerings are consistent with the College’s mission, are appropriate to higher education, have well defined and measurable student learning outcomes, and support student achievement of career and/or transfer goals.  The same standards are applied regardless of location or means of delivery, including distance education. If an alternative delivery method is proposed, including distance education and hybrid courses, the appropriateness and effectiveness of the proposed delivery method for the particular curriculum is also considered. Course authors must prove that the distance education course will promote robust interaction between the students and content, between the students, and between the students and the faculty member. In addition the course author must prove that all objectives and learning outcomes will be achieved and appropriately assessed. The chair of the Institutional Effectiveness Committee also reviews the proposed Student Learning Outcomes to ensure that they are measurable and support the Institutional Learning Outcomes. A library review ensures that any required library resources are available or can be acquired, and the Disabled Student Services program reviews proposed instructional materials for accessibility.  Significant concerns are referred back to the course creator(s) to address, then the course is placed on the agenda for a Curriculum Committee meeting.</w:t>
            </w:r>
          </w:p>
          <w:p w14:paraId="7604397C" w14:textId="0DA4E4D1" w:rsidR="00720091" w:rsidRPr="002B6FD1" w:rsidRDefault="00720091" w:rsidP="00246BAF">
            <w:pPr>
              <w:pStyle w:val="TableStyle"/>
              <w:tabs>
                <w:tab w:val="left" w:pos="3080"/>
              </w:tabs>
              <w:jc w:val="left"/>
              <w:rPr>
                <w:rFonts w:cs="Times New Roman"/>
              </w:rPr>
            </w:pPr>
            <w:r>
              <w:rPr>
                <w:rFonts w:cs="Times New Roman"/>
              </w:rPr>
              <w:t>(See Standards IIA.1)</w:t>
            </w:r>
          </w:p>
        </w:tc>
      </w:tr>
      <w:tr w:rsidR="00720091" w14:paraId="3CBF9554" w14:textId="77777777" w:rsidTr="00EB0DC9">
        <w:tc>
          <w:tcPr>
            <w:tcW w:w="8990" w:type="dxa"/>
          </w:tcPr>
          <w:p w14:paraId="1E50E9AD" w14:textId="77777777" w:rsidR="00720091" w:rsidRDefault="00720091" w:rsidP="005B0C71">
            <w:pPr>
              <w:pStyle w:val="TableStyle"/>
              <w:tabs>
                <w:tab w:val="left" w:pos="3080"/>
              </w:tabs>
              <w:jc w:val="left"/>
            </w:pPr>
            <w:r>
              <w:t xml:space="preserve">There is an accurate and consistent application of the policies and procedures for determining if a </w:t>
            </w:r>
            <w:r>
              <w:lastRenderedPageBreak/>
              <w:t>course is offered by distance education (with regular and substantive interaction with the instructor, initiated by the instructor, and online activities are included as part of a student’s grade) or correspondence education (online activities are primarily “paperwork related,” including reading posted materials, posting homework and completing examinations, and interaction with the instructor is initiated by the student as needed).</w:t>
            </w:r>
          </w:p>
          <w:p w14:paraId="27567A1B" w14:textId="77777777" w:rsidR="00720091" w:rsidRPr="00BA5B06" w:rsidRDefault="00720091" w:rsidP="005B0C71">
            <w:pPr>
              <w:pStyle w:val="TableStyle"/>
              <w:tabs>
                <w:tab w:val="left" w:pos="3080"/>
              </w:tabs>
              <w:jc w:val="left"/>
              <w:rPr>
                <w:rFonts w:ascii="Times New Roman" w:hAnsi="Times New Roman" w:cs="Times New Roman"/>
              </w:rPr>
            </w:pPr>
          </w:p>
          <w:p w14:paraId="3B972BA9" w14:textId="4BA74A6C" w:rsidR="00720091" w:rsidRPr="00BA5B06" w:rsidRDefault="00720091" w:rsidP="005B0C71">
            <w:pPr>
              <w:pStyle w:val="TableStyle"/>
              <w:tabs>
                <w:tab w:val="left" w:pos="3080"/>
              </w:tabs>
              <w:jc w:val="left"/>
              <w:rPr>
                <w:rFonts w:ascii="Times New Roman" w:hAnsi="Times New Roman" w:cs="Times New Roman"/>
              </w:rPr>
            </w:pPr>
            <w:r>
              <w:rPr>
                <w:rFonts w:ascii="Times New Roman" w:hAnsi="Times New Roman" w:cs="Times New Roman"/>
              </w:rPr>
              <w:t>In addition to the description above, the College complies with California Education Code, Title 5, Sections 55202 (Course Quality Standards), 55204 (Instructor Contact), and 55206 (Separate Course Approval).  Compliance with these sections ensures that the College’s distance education courses meet consistent requirements, with regular and substantive interaction with the instructor and online activities are included as part of the student’s grade.</w:t>
            </w:r>
          </w:p>
          <w:p w14:paraId="3172C1AB" w14:textId="77777777" w:rsidR="00720091" w:rsidRPr="00BA5B06" w:rsidRDefault="00720091" w:rsidP="005B0C71">
            <w:pPr>
              <w:pStyle w:val="TableStyle"/>
              <w:tabs>
                <w:tab w:val="left" w:pos="3080"/>
              </w:tabs>
              <w:jc w:val="left"/>
              <w:rPr>
                <w:rFonts w:ascii="Times New Roman" w:hAnsi="Times New Roman" w:cs="Times New Roman"/>
              </w:rPr>
            </w:pPr>
          </w:p>
          <w:p w14:paraId="793D38F9" w14:textId="383A1578" w:rsidR="00720091" w:rsidRDefault="00720091" w:rsidP="005B0C71">
            <w:pPr>
              <w:pStyle w:val="TableStyle"/>
              <w:tabs>
                <w:tab w:val="left" w:pos="3080"/>
              </w:tabs>
              <w:jc w:val="left"/>
            </w:pPr>
            <w:r>
              <w:rPr>
                <w:rFonts w:cs="Times New Roman"/>
              </w:rPr>
              <w:t>(See Standards IIA.1)</w:t>
            </w:r>
          </w:p>
        </w:tc>
      </w:tr>
      <w:tr w:rsidR="00720091" w14:paraId="76169EF7" w14:textId="77777777" w:rsidTr="00EB0DC9">
        <w:tc>
          <w:tcPr>
            <w:tcW w:w="8990" w:type="dxa"/>
          </w:tcPr>
          <w:p w14:paraId="10D100AA" w14:textId="77777777" w:rsidR="00720091" w:rsidRDefault="00720091" w:rsidP="005B0C71">
            <w:pPr>
              <w:pStyle w:val="TableStyle"/>
              <w:tabs>
                <w:tab w:val="left" w:pos="3080"/>
              </w:tabs>
              <w:jc w:val="left"/>
            </w:pPr>
            <w:r>
              <w:lastRenderedPageBreak/>
              <w:t>The institution has appropriate means and consistently applies those means for verifying the identity of a student who participates in a distance education or correspondence education course or program, and for ensuring that student information is protected.</w:t>
            </w:r>
          </w:p>
          <w:p w14:paraId="3D133181" w14:textId="77777777" w:rsidR="00720091" w:rsidRPr="00BA5B06" w:rsidRDefault="00720091" w:rsidP="005B0C71">
            <w:pPr>
              <w:pStyle w:val="TableStyle"/>
              <w:tabs>
                <w:tab w:val="left" w:pos="3080"/>
              </w:tabs>
              <w:jc w:val="left"/>
              <w:rPr>
                <w:rFonts w:ascii="Times New Roman" w:hAnsi="Times New Roman" w:cs="Times New Roman"/>
              </w:rPr>
            </w:pPr>
          </w:p>
          <w:p w14:paraId="6C7C42AC" w14:textId="464D25C8" w:rsidR="00720091" w:rsidRPr="00BC6B74" w:rsidRDefault="00720091" w:rsidP="00BC6B74">
            <w:pPr>
              <w:pStyle w:val="Normalwithspacebetween"/>
              <w:rPr>
                <w:rFonts w:cs="Times New Roman"/>
              </w:rPr>
            </w:pPr>
            <w:r>
              <w:t>Students are provided access to online classes via a single sign-on through the College’s student user page called Corsair Connect.  The login credentials include their college identification number as well as a secret password known only to the student. </w:t>
            </w:r>
          </w:p>
        </w:tc>
      </w:tr>
      <w:tr w:rsidR="00720091" w14:paraId="53B9239D" w14:textId="77777777" w:rsidTr="00EB0DC9">
        <w:tc>
          <w:tcPr>
            <w:tcW w:w="8990" w:type="dxa"/>
          </w:tcPr>
          <w:p w14:paraId="7670D900" w14:textId="77777777" w:rsidR="00720091" w:rsidRDefault="00720091" w:rsidP="005B0C71">
            <w:pPr>
              <w:pStyle w:val="TableStyle"/>
              <w:tabs>
                <w:tab w:val="left" w:pos="3080"/>
              </w:tabs>
              <w:jc w:val="left"/>
            </w:pPr>
            <w:r>
              <w:t>The technology infrastructure is sufficient to maintain and sustain the distance education and correspondence education offerings.</w:t>
            </w:r>
          </w:p>
          <w:p w14:paraId="6241D4FA" w14:textId="77777777" w:rsidR="00720091" w:rsidRPr="00572BE5" w:rsidRDefault="00720091" w:rsidP="005B0C71">
            <w:pPr>
              <w:pStyle w:val="TableStyle"/>
              <w:tabs>
                <w:tab w:val="left" w:pos="3080"/>
              </w:tabs>
              <w:jc w:val="left"/>
              <w:rPr>
                <w:rFonts w:ascii="Times New Roman" w:hAnsi="Times New Roman" w:cs="Times New Roman"/>
              </w:rPr>
            </w:pPr>
          </w:p>
          <w:p w14:paraId="7E06B1BF" w14:textId="4FD58F17" w:rsidR="00720091" w:rsidRPr="00B66436" w:rsidRDefault="00720091" w:rsidP="00B66436">
            <w:pPr>
              <w:rPr>
                <w:rFonts w:cs="Times New Roman"/>
              </w:rPr>
            </w:pPr>
            <w:r w:rsidRPr="00B66436">
              <w:rPr>
                <w:rFonts w:cs="Times New Roman"/>
              </w:rPr>
              <w:t xml:space="preserve">The College’s infrastructure is sufficient to maintain the distance education program.  </w:t>
            </w:r>
            <w:r>
              <w:rPr>
                <w:rFonts w:cs="Times New Roman"/>
              </w:rPr>
              <w:t xml:space="preserve">Since its inception in 1999, the Distance Education Program has used eCollege as the Course Management Platform. </w:t>
            </w:r>
            <w:r w:rsidRPr="00B66436">
              <w:rPr>
                <w:rFonts w:cs="Times New Roman"/>
              </w:rPr>
              <w:t xml:space="preserve">All DE faculty have had access to eCollege’s iSupport technicians and have used this team to address questions specific to instructional multimedia, as well as to course development, instructional design, and online pedagogy.  There is also access to a robust self-paced, online, faculty-designed tutorial that resides on the eCollege platform and covers pedagogy as well as how to effectively use the tools within the platform.  The College also provides individualized support to DE faculty through a dedicated Distance Education Multimedia Specialist who helps faculty remain current in the use of effective distance education tools and strategies.  </w:t>
            </w:r>
          </w:p>
          <w:p w14:paraId="61DDE1A6" w14:textId="77777777" w:rsidR="00720091" w:rsidRPr="00B66436" w:rsidRDefault="00720091" w:rsidP="00B66436">
            <w:pPr>
              <w:rPr>
                <w:rFonts w:cs="Times New Roman"/>
              </w:rPr>
            </w:pPr>
          </w:p>
          <w:p w14:paraId="1826817D" w14:textId="27AF80D5" w:rsidR="00720091" w:rsidRPr="00B66436" w:rsidRDefault="00720091" w:rsidP="00B66436">
            <w:pPr>
              <w:rPr>
                <w:rFonts w:cs="Times New Roman"/>
              </w:rPr>
            </w:pPr>
            <w:r w:rsidRPr="00B66436">
              <w:rPr>
                <w:rFonts w:cs="Times New Roman"/>
              </w:rPr>
              <w:t xml:space="preserve">As the College prepares to move from eCollege to Instructure Canvas as part of a statewide effort among the community college system to centralize distance education platforms, the college community will continue to work diligently to train and support faculty, not only as they migrate their courses to the new platform, but as they work to incorporate new tools and technologies through Canvas.  The College is offering workshops for students to familiarize them with the Canvas learning management system and the tools available to support teaching and learning.  These </w:t>
            </w:r>
            <w:r w:rsidRPr="00AA68C4">
              <w:t>in-house training modules</w:t>
            </w:r>
            <w:r w:rsidRPr="00B66436">
              <w:rPr>
                <w:rFonts w:cs="Times New Roman"/>
              </w:rPr>
              <w:t xml:space="preserve"> will be augmented with workshops provided through Canvas and the @One Project.</w:t>
            </w:r>
          </w:p>
          <w:p w14:paraId="2E8F2B83" w14:textId="77777777" w:rsidR="00720091" w:rsidRPr="00572BE5" w:rsidRDefault="00720091" w:rsidP="005B0C71">
            <w:pPr>
              <w:pStyle w:val="TableStyle"/>
              <w:tabs>
                <w:tab w:val="left" w:pos="3080"/>
              </w:tabs>
              <w:jc w:val="left"/>
              <w:rPr>
                <w:rFonts w:ascii="Times New Roman" w:hAnsi="Times New Roman" w:cs="Times New Roman"/>
              </w:rPr>
            </w:pPr>
          </w:p>
          <w:p w14:paraId="6946946E" w14:textId="4C6E45F3" w:rsidR="00720091" w:rsidRDefault="00720091" w:rsidP="00572BE5">
            <w:pPr>
              <w:pStyle w:val="TableStyle"/>
              <w:tabs>
                <w:tab w:val="left" w:pos="3080"/>
              </w:tabs>
              <w:jc w:val="left"/>
            </w:pPr>
            <w:r>
              <w:rPr>
                <w:rFonts w:cs="Times New Roman"/>
              </w:rPr>
              <w:t>(See Standard IIIC.5)</w:t>
            </w:r>
          </w:p>
        </w:tc>
      </w:tr>
      <w:tr w:rsidR="00720091" w14:paraId="730D6CBE" w14:textId="77777777" w:rsidTr="00EB0DC9">
        <w:tc>
          <w:tcPr>
            <w:tcW w:w="8990" w:type="dxa"/>
          </w:tcPr>
          <w:p w14:paraId="6758C879" w14:textId="77777777" w:rsidR="00720091" w:rsidRDefault="00720091" w:rsidP="005B0C71">
            <w:pPr>
              <w:pStyle w:val="TableStyle"/>
              <w:tabs>
                <w:tab w:val="left" w:pos="3080"/>
              </w:tabs>
              <w:jc w:val="left"/>
            </w:pPr>
            <w:r>
              <w:t>The institution demonstrates compliance with the Commission Policy on Distance Education and Correspondence Education.</w:t>
            </w:r>
          </w:p>
          <w:p w14:paraId="540FBD6C" w14:textId="77777777" w:rsidR="00720091" w:rsidRPr="00B66436" w:rsidRDefault="00720091" w:rsidP="005B0C71">
            <w:pPr>
              <w:pStyle w:val="TableStyle"/>
              <w:tabs>
                <w:tab w:val="left" w:pos="3080"/>
              </w:tabs>
              <w:jc w:val="left"/>
              <w:rPr>
                <w:rFonts w:ascii="Times New Roman" w:hAnsi="Times New Roman" w:cs="Times New Roman"/>
              </w:rPr>
            </w:pPr>
          </w:p>
          <w:p w14:paraId="0F9891E1" w14:textId="359E33FC" w:rsidR="00720091" w:rsidRDefault="00720091" w:rsidP="005B0C71">
            <w:pPr>
              <w:pStyle w:val="TableStyle"/>
              <w:tabs>
                <w:tab w:val="left" w:pos="3080"/>
              </w:tabs>
              <w:jc w:val="left"/>
              <w:rPr>
                <w:rFonts w:ascii="Times New Roman" w:hAnsi="Times New Roman" w:cs="Times New Roman"/>
              </w:rPr>
            </w:pPr>
            <w:r>
              <w:rPr>
                <w:rFonts w:ascii="Times New Roman" w:hAnsi="Times New Roman" w:cs="Times New Roman"/>
              </w:rPr>
              <w:t>The College’s Mission is directly supported by the College’s distance education courses and services in that it “</w:t>
            </w:r>
            <w:r w:rsidRPr="001420E1">
              <w:rPr>
                <w:rFonts w:ascii="Times New Roman" w:hAnsi="Times New Roman" w:cs="Times New Roman"/>
              </w:rPr>
              <w:t xml:space="preserve">provides open and affordable access to high quality undergraduate degrees and certificates” to students who, because of time and place restrictions, cannot attend on-ground </w:t>
            </w:r>
            <w:r w:rsidRPr="001420E1">
              <w:rPr>
                <w:rFonts w:ascii="Times New Roman" w:hAnsi="Times New Roman" w:cs="Times New Roman"/>
              </w:rPr>
              <w:lastRenderedPageBreak/>
              <w:t>classes.</w:t>
            </w:r>
            <w:r>
              <w:rPr>
                <w:rFonts w:ascii="Times New Roman" w:hAnsi="Times New Roman" w:cs="Times New Roman"/>
              </w:rPr>
              <w:t xml:space="preserve">  The courses offered through distance education have follow the same processes and procedures as their on ground counterparts and the student learning outcomes are the same for both delivery modes.  </w:t>
            </w:r>
          </w:p>
          <w:p w14:paraId="30421ADD" w14:textId="70931874" w:rsidR="00720091" w:rsidRDefault="00720091" w:rsidP="005B0C71">
            <w:pPr>
              <w:pStyle w:val="TableStyle"/>
              <w:tabs>
                <w:tab w:val="left" w:pos="3080"/>
              </w:tabs>
              <w:jc w:val="left"/>
            </w:pPr>
          </w:p>
        </w:tc>
      </w:tr>
    </w:tbl>
    <w:p w14:paraId="78C22E16" w14:textId="454DAEFD" w:rsidR="00720091" w:rsidRDefault="00720091"/>
    <w:p w14:paraId="72CD33EB" w14:textId="588124F5" w:rsidR="00720091" w:rsidRDefault="00720091" w:rsidP="006F2A21">
      <w:pPr>
        <w:pStyle w:val="Heading3"/>
      </w:pPr>
      <w:r>
        <w:t>Policy on Representation of Accredited Status</w:t>
      </w:r>
    </w:p>
    <w:p w14:paraId="0AA48415" w14:textId="4E7AB4BA" w:rsidR="00720091" w:rsidRDefault="00720091" w:rsidP="00EB0DC9">
      <w:pPr>
        <w:pStyle w:val="Normalwithspacebetween"/>
      </w:pPr>
      <w:r>
        <w:t xml:space="preserve">Santa Monica College posts its accredited status online, no more than </w:t>
      </w:r>
      <w:hyperlink r:id="rId101" w:history="1">
        <w:r w:rsidRPr="0085765E">
          <w:rPr>
            <w:rStyle w:val="Hyperlink"/>
          </w:rPr>
          <w:t>one click away</w:t>
        </w:r>
      </w:hyperlink>
      <w:r>
        <w:t xml:space="preserve"> from the homepage</w:t>
      </w:r>
      <w:r>
        <w:rPr>
          <w:rStyle w:val="EndnoteReference"/>
        </w:rPr>
        <w:endnoteReference w:id="48"/>
      </w:r>
      <w:r>
        <w:t xml:space="preserve"> as well as in its </w:t>
      </w:r>
      <w:hyperlink r:id="rId102" w:history="1">
        <w:r w:rsidRPr="0085765E">
          <w:rPr>
            <w:rStyle w:val="Hyperlink"/>
          </w:rPr>
          <w:t>catalog</w:t>
        </w:r>
      </w:hyperlink>
      <w:r>
        <w:t>.</w:t>
      </w:r>
      <w:r>
        <w:rPr>
          <w:rStyle w:val="EndnoteReference"/>
        </w:rPr>
        <w:endnoteReference w:id="49"/>
      </w:r>
      <w:r>
        <w:t xml:space="preserve">  The information provided includes the representation of its accredited status, reports and documents concerning its programmatic accreditation as shown below:</w:t>
      </w:r>
    </w:p>
    <w:p w14:paraId="2285F1ED" w14:textId="77777777" w:rsidR="00720091" w:rsidRPr="00395686" w:rsidRDefault="00720091" w:rsidP="00355ABC">
      <w:pPr>
        <w:pStyle w:val="Normalwithspacebetween"/>
        <w:keepNext/>
        <w:spacing w:before="0" w:after="0"/>
        <w:ind w:left="432" w:right="360"/>
      </w:pPr>
      <w:r w:rsidRPr="00395686">
        <w:rPr>
          <w:rStyle w:val="Strong"/>
          <w:rFonts w:asciiTheme="majorHAnsi" w:hAnsiTheme="majorHAnsi" w:cs="Arial"/>
          <w:bCs w:val="0"/>
          <w:sz w:val="22"/>
          <w:szCs w:val="22"/>
        </w:rPr>
        <w:t>Accreditation</w:t>
      </w:r>
    </w:p>
    <w:p w14:paraId="079EC4A7" w14:textId="17B9E126" w:rsidR="00720091" w:rsidRPr="00395686" w:rsidRDefault="00720091" w:rsidP="00355ABC">
      <w:pPr>
        <w:shd w:val="clear" w:color="auto" w:fill="FFFFFF"/>
        <w:ind w:left="432" w:right="360"/>
        <w:rPr>
          <w:rStyle w:val="ms-rtethemeforecolor-2-0"/>
          <w:rFonts w:asciiTheme="majorHAnsi" w:hAnsiTheme="majorHAnsi" w:cs="Arial"/>
          <w:color w:val="000000"/>
          <w:sz w:val="22"/>
          <w:szCs w:val="22"/>
        </w:rPr>
      </w:pPr>
      <w:r w:rsidRPr="00395686">
        <w:rPr>
          <w:rStyle w:val="ms-rtethemeforecolor-2-0"/>
          <w:rFonts w:asciiTheme="majorHAnsi" w:hAnsiTheme="majorHAnsi" w:cs="Arial"/>
          <w:color w:val="000000"/>
          <w:sz w:val="22"/>
          <w:szCs w:val="22"/>
        </w:rPr>
        <w:t>Santa Monica College is accredited by the Accrediting Commission for Community and Junior Colleges</w:t>
      </w:r>
      <w:r>
        <w:rPr>
          <w:rStyle w:val="apple-converted-space"/>
          <w:rFonts w:asciiTheme="majorHAnsi" w:hAnsiTheme="majorHAnsi" w:cs="Arial"/>
          <w:color w:val="666666"/>
          <w:sz w:val="22"/>
          <w:szCs w:val="22"/>
        </w:rPr>
        <w:t xml:space="preserve"> </w:t>
      </w:r>
      <w:r w:rsidRPr="0085765E">
        <w:rPr>
          <w:rStyle w:val="ms-rtethemeforecolor-2-0"/>
          <w:rFonts w:asciiTheme="majorHAnsi" w:hAnsiTheme="majorHAnsi" w:cs="Arial"/>
          <w:color w:val="000000"/>
          <w:sz w:val="22"/>
          <w:szCs w:val="22"/>
        </w:rPr>
        <w:t>(ACCJC)</w:t>
      </w:r>
      <w:r w:rsidRPr="00395686">
        <w:rPr>
          <w:rStyle w:val="ms-rtethemeforecolor-2-0"/>
          <w:rFonts w:asciiTheme="majorHAnsi" w:hAnsiTheme="majorHAnsi" w:cs="Arial"/>
          <w:color w:val="000000"/>
          <w:sz w:val="22"/>
          <w:szCs w:val="22"/>
        </w:rPr>
        <w:t>, Western Association of Schools and Colleges</w:t>
      </w:r>
      <w:r>
        <w:rPr>
          <w:rStyle w:val="ms-rtethemeforecolor-2-0"/>
        </w:rPr>
        <w:t xml:space="preserve"> </w:t>
      </w:r>
      <w:r w:rsidRPr="0085765E">
        <w:rPr>
          <w:rStyle w:val="ms-rtethemeforecolor-2-0"/>
          <w:rFonts w:asciiTheme="majorHAnsi" w:hAnsiTheme="majorHAnsi" w:cs="Arial"/>
          <w:color w:val="000000"/>
          <w:sz w:val="22"/>
          <w:szCs w:val="22"/>
        </w:rPr>
        <w:t>(WASC)</w:t>
      </w:r>
      <w:r w:rsidRPr="00395686">
        <w:rPr>
          <w:rStyle w:val="ms-rtethemeforecolor-2-0"/>
          <w:rFonts w:asciiTheme="majorHAnsi" w:hAnsiTheme="majorHAnsi" w:cs="Arial"/>
          <w:color w:val="000000"/>
          <w:sz w:val="22"/>
          <w:szCs w:val="22"/>
        </w:rPr>
        <w:t>, 10 Commercial Blvd., Suite 204, Novato, CA 94949, (415) 506-0234, an institutional accrediting body recognized by the Council for Higher Education Accreditation (CHEA) and the U.S. Department of Education.</w:t>
      </w:r>
    </w:p>
    <w:p w14:paraId="21CDB04A" w14:textId="77777777" w:rsidR="00720091" w:rsidRPr="00395686" w:rsidRDefault="00720091" w:rsidP="00355ABC">
      <w:pPr>
        <w:shd w:val="clear" w:color="auto" w:fill="FFFFFF"/>
        <w:ind w:left="432" w:right="360"/>
        <w:rPr>
          <w:rStyle w:val="ms-rtethemeforecolor-2-0"/>
          <w:rFonts w:asciiTheme="majorHAnsi" w:hAnsiTheme="majorHAnsi" w:cs="Arial"/>
          <w:color w:val="000000"/>
          <w:sz w:val="22"/>
          <w:szCs w:val="22"/>
        </w:rPr>
      </w:pPr>
    </w:p>
    <w:p w14:paraId="274D3F0F" w14:textId="2562B1FB" w:rsidR="00720091" w:rsidRDefault="00720091" w:rsidP="00355ABC">
      <w:pPr>
        <w:shd w:val="clear" w:color="auto" w:fill="FFFFFF"/>
        <w:ind w:left="432" w:right="360"/>
        <w:rPr>
          <w:rStyle w:val="ms-rtethemeforecolor-2-0"/>
          <w:rFonts w:asciiTheme="majorHAnsi" w:hAnsiTheme="majorHAnsi"/>
          <w:color w:val="000000"/>
          <w:sz w:val="22"/>
          <w:szCs w:val="22"/>
        </w:rPr>
      </w:pPr>
      <w:r w:rsidRPr="00395686">
        <w:rPr>
          <w:rStyle w:val="ms-rtethemeforecolor-2-0"/>
          <w:rFonts w:asciiTheme="majorHAnsi" w:hAnsiTheme="majorHAnsi" w:cs="Arial"/>
          <w:color w:val="000000"/>
          <w:sz w:val="22"/>
          <w:szCs w:val="22"/>
        </w:rPr>
        <w:t>Additional information about accreditation, including the filing of complaints against member institutions, can be found at</w:t>
      </w:r>
      <w:r>
        <w:rPr>
          <w:rStyle w:val="ms-rtethemeforecolor-2-0"/>
          <w:rFonts w:asciiTheme="majorHAnsi" w:hAnsiTheme="majorHAnsi"/>
          <w:color w:val="000000"/>
          <w:sz w:val="22"/>
          <w:szCs w:val="22"/>
        </w:rPr>
        <w:t xml:space="preserve"> </w:t>
      </w:r>
      <w:hyperlink r:id="rId103" w:history="1">
        <w:r w:rsidRPr="00395686">
          <w:rPr>
            <w:rStyle w:val="ms-rtethemeforecolor-2-0"/>
            <w:rFonts w:asciiTheme="majorHAnsi" w:hAnsiTheme="majorHAnsi"/>
            <w:color w:val="000000"/>
            <w:sz w:val="22"/>
            <w:szCs w:val="22"/>
          </w:rPr>
          <w:t>www.accjc.org</w:t>
        </w:r>
      </w:hyperlink>
      <w:r w:rsidRPr="00395686">
        <w:rPr>
          <w:rStyle w:val="ms-rtethemeforecolor-2-0"/>
          <w:rFonts w:asciiTheme="majorHAnsi" w:hAnsiTheme="majorHAnsi"/>
          <w:color w:val="000000"/>
          <w:sz w:val="22"/>
          <w:szCs w:val="22"/>
        </w:rPr>
        <w:t>.</w:t>
      </w:r>
    </w:p>
    <w:p w14:paraId="1EBB023B" w14:textId="77777777" w:rsidR="00720091" w:rsidRDefault="00720091" w:rsidP="00355ABC">
      <w:pPr>
        <w:shd w:val="clear" w:color="auto" w:fill="FFFFFF"/>
        <w:ind w:left="432" w:right="360"/>
        <w:rPr>
          <w:rStyle w:val="ms-rtethemeforecolor-2-0"/>
          <w:rFonts w:asciiTheme="majorHAnsi" w:hAnsiTheme="majorHAnsi"/>
          <w:color w:val="000000"/>
          <w:sz w:val="22"/>
          <w:szCs w:val="22"/>
        </w:rPr>
      </w:pPr>
    </w:p>
    <w:p w14:paraId="0751626F" w14:textId="7C1DFD6E" w:rsidR="00720091" w:rsidRPr="001F37D8" w:rsidRDefault="00720091" w:rsidP="00BE0DF5">
      <w:pPr>
        <w:shd w:val="clear" w:color="auto" w:fill="FFFFFF"/>
        <w:ind w:right="360"/>
        <w:rPr>
          <w:rStyle w:val="ms-rtethemeforecolor-2-0"/>
          <w:rFonts w:cs="Times New Roman"/>
          <w:color w:val="000000"/>
          <w:sz w:val="22"/>
          <w:szCs w:val="22"/>
        </w:rPr>
      </w:pPr>
      <w:r w:rsidRPr="001F37D8">
        <w:rPr>
          <w:rStyle w:val="ms-rtethemeforecolor-2-0"/>
          <w:rFonts w:cs="Times New Roman"/>
          <w:color w:val="000000"/>
          <w:sz w:val="22"/>
          <w:szCs w:val="22"/>
        </w:rPr>
        <w:t xml:space="preserve">Specific information about </w:t>
      </w:r>
      <w:r>
        <w:rPr>
          <w:rStyle w:val="ms-rtethemeforecolor-2-0"/>
          <w:rFonts w:cs="Times New Roman"/>
          <w:color w:val="000000"/>
          <w:sz w:val="22"/>
          <w:szCs w:val="22"/>
        </w:rPr>
        <w:t xml:space="preserve">Nursing and Respiratory Therapy </w:t>
      </w:r>
      <w:r w:rsidRPr="001F37D8">
        <w:rPr>
          <w:rStyle w:val="ms-rtethemeforecolor-2-0"/>
          <w:rFonts w:cs="Times New Roman"/>
          <w:color w:val="000000"/>
          <w:sz w:val="22"/>
          <w:szCs w:val="22"/>
        </w:rPr>
        <w:t>pr</w:t>
      </w:r>
      <w:r>
        <w:rPr>
          <w:rStyle w:val="ms-rtethemeforecolor-2-0"/>
          <w:rFonts w:cs="Times New Roman"/>
          <w:color w:val="000000"/>
          <w:sz w:val="22"/>
          <w:szCs w:val="22"/>
        </w:rPr>
        <w:t>ogram</w:t>
      </w:r>
      <w:r w:rsidR="0085765E">
        <w:rPr>
          <w:rStyle w:val="ms-rtethemeforecolor-2-0"/>
          <w:rFonts w:cs="Times New Roman"/>
          <w:color w:val="000000"/>
          <w:sz w:val="22"/>
          <w:szCs w:val="22"/>
        </w:rPr>
        <w:t>s</w:t>
      </w:r>
      <w:r>
        <w:rPr>
          <w:rStyle w:val="ms-rtethemeforecolor-2-0"/>
          <w:rFonts w:cs="Times New Roman"/>
          <w:color w:val="000000"/>
          <w:sz w:val="22"/>
          <w:szCs w:val="22"/>
        </w:rPr>
        <w:t xml:space="preserve">, which are </w:t>
      </w:r>
      <w:r w:rsidRPr="001F37D8">
        <w:rPr>
          <w:rStyle w:val="ms-rtethemeforecolor-2-0"/>
          <w:rFonts w:cs="Times New Roman"/>
          <w:color w:val="000000"/>
          <w:sz w:val="22"/>
          <w:szCs w:val="22"/>
        </w:rPr>
        <w:t>accredited by other accrediting organizations</w:t>
      </w:r>
      <w:r>
        <w:rPr>
          <w:rStyle w:val="ms-rtethemeforecolor-2-0"/>
          <w:rFonts w:cs="Times New Roman"/>
          <w:color w:val="000000"/>
          <w:sz w:val="22"/>
          <w:szCs w:val="22"/>
        </w:rPr>
        <w:t>,</w:t>
      </w:r>
      <w:r w:rsidRPr="001F37D8">
        <w:rPr>
          <w:rStyle w:val="ms-rtethemeforecolor-2-0"/>
          <w:rFonts w:cs="Times New Roman"/>
          <w:color w:val="000000"/>
          <w:sz w:val="22"/>
          <w:szCs w:val="22"/>
        </w:rPr>
        <w:t xml:space="preserve"> are also listed in the college catalog.</w:t>
      </w:r>
    </w:p>
    <w:p w14:paraId="21FD1042" w14:textId="08EACEF3" w:rsidR="00720091" w:rsidRDefault="00720091" w:rsidP="006F2A21">
      <w:pPr>
        <w:pStyle w:val="Heading3"/>
      </w:pPr>
      <w:r>
        <w:t>Policy on Student and Public Complaints Against Institutions</w:t>
      </w:r>
    </w:p>
    <w:p w14:paraId="56182084" w14:textId="04927106" w:rsidR="00720091" w:rsidRDefault="00720091">
      <w:r>
        <w:t>Santa Monica College has clear policies and procedures for responding to student complaints which are listed on the college website and the college catalog.</w:t>
      </w:r>
    </w:p>
    <w:p w14:paraId="2E5557F4" w14:textId="77777777" w:rsidR="00720091" w:rsidRDefault="00720091"/>
    <w:tbl>
      <w:tblPr>
        <w:tblStyle w:val="TableGrid"/>
        <w:tblW w:w="0" w:type="auto"/>
        <w:tblLook w:val="04A0" w:firstRow="1" w:lastRow="0" w:firstColumn="1" w:lastColumn="0" w:noHBand="0" w:noVBand="1"/>
      </w:tblPr>
      <w:tblGrid>
        <w:gridCol w:w="8990"/>
      </w:tblGrid>
      <w:tr w:rsidR="00720091" w14:paraId="65BE2AA1" w14:textId="77777777" w:rsidTr="00BE0DF5">
        <w:tc>
          <w:tcPr>
            <w:tcW w:w="8990" w:type="dxa"/>
            <w:vAlign w:val="center"/>
          </w:tcPr>
          <w:p w14:paraId="3070CC32" w14:textId="72566C35" w:rsidR="00720091" w:rsidRPr="005B0C71" w:rsidRDefault="00720091" w:rsidP="002B6FD1">
            <w:pPr>
              <w:pStyle w:val="TableStyle"/>
              <w:keepNext/>
              <w:tabs>
                <w:tab w:val="left" w:pos="3080"/>
              </w:tabs>
              <w:rPr>
                <w:b/>
              </w:rPr>
            </w:pPr>
            <w:r w:rsidRPr="005B0C71">
              <w:rPr>
                <w:b/>
              </w:rPr>
              <w:t>Student Complaints</w:t>
            </w:r>
          </w:p>
          <w:p w14:paraId="1E3EAEA1" w14:textId="62741F85" w:rsidR="00720091" w:rsidRDefault="00720091" w:rsidP="002B6FD1">
            <w:pPr>
              <w:pStyle w:val="TableStyle"/>
              <w:keepNext/>
              <w:tabs>
                <w:tab w:val="left" w:pos="3080"/>
              </w:tabs>
            </w:pPr>
            <w:r>
              <w:t>Regulation citations: 602.16(a) (1) (ix); 668.43.</w:t>
            </w:r>
          </w:p>
        </w:tc>
      </w:tr>
      <w:tr w:rsidR="00720091" w14:paraId="68A885E1" w14:textId="77777777" w:rsidTr="00BE0DF5">
        <w:tc>
          <w:tcPr>
            <w:tcW w:w="8990" w:type="dxa"/>
          </w:tcPr>
          <w:p w14:paraId="4F0BC463" w14:textId="215DEF93" w:rsidR="00720091" w:rsidRDefault="00720091" w:rsidP="005B0C71">
            <w:pPr>
              <w:pStyle w:val="TableStyle"/>
              <w:tabs>
                <w:tab w:val="left" w:pos="3080"/>
              </w:tabs>
              <w:jc w:val="left"/>
            </w:pPr>
            <w:r>
              <w:t>The institution has clear policies and procedures for handling student complaints, and the current policies and procedures are accessible to students in the college catalog and online.</w:t>
            </w:r>
          </w:p>
          <w:p w14:paraId="6657AA31" w14:textId="77777777" w:rsidR="00720091" w:rsidRDefault="00720091" w:rsidP="005B0C71">
            <w:pPr>
              <w:pStyle w:val="TableStyle"/>
              <w:tabs>
                <w:tab w:val="left" w:pos="3080"/>
              </w:tabs>
              <w:jc w:val="left"/>
            </w:pPr>
          </w:p>
          <w:p w14:paraId="4C2901BA" w14:textId="5AF0CC1B" w:rsidR="00720091" w:rsidRPr="00D47FBD" w:rsidRDefault="00720091" w:rsidP="005B0C71">
            <w:pPr>
              <w:pStyle w:val="TableStyle"/>
              <w:tabs>
                <w:tab w:val="left" w:pos="3080"/>
              </w:tabs>
              <w:jc w:val="left"/>
              <w:rPr>
                <w:rFonts w:ascii="Times New Roman" w:hAnsi="Times New Roman" w:cs="Times New Roman"/>
              </w:rPr>
            </w:pPr>
            <w:r w:rsidRPr="00D47FBD">
              <w:rPr>
                <w:rFonts w:ascii="Times New Roman" w:hAnsi="Times New Roman" w:cs="Times New Roman"/>
              </w:rPr>
              <w:t>The college catalog includes several references for filing complaints</w:t>
            </w:r>
            <w:r>
              <w:rPr>
                <w:rFonts w:ascii="Times New Roman" w:hAnsi="Times New Roman" w:cs="Times New Roman"/>
              </w:rPr>
              <w:t xml:space="preserve"> regarding</w:t>
            </w:r>
            <w:r w:rsidRPr="00D47FBD">
              <w:rPr>
                <w:rFonts w:ascii="Times New Roman" w:hAnsi="Times New Roman" w:cs="Times New Roman"/>
              </w:rPr>
              <w:t>:</w:t>
            </w:r>
          </w:p>
          <w:p w14:paraId="0201FD45" w14:textId="05489A71" w:rsidR="00720091" w:rsidRDefault="00720091" w:rsidP="00D47FBD">
            <w:pPr>
              <w:pStyle w:val="TableStyle"/>
              <w:numPr>
                <w:ilvl w:val="0"/>
                <w:numId w:val="19"/>
              </w:numPr>
              <w:tabs>
                <w:tab w:val="left" w:pos="3080"/>
              </w:tabs>
              <w:jc w:val="left"/>
              <w:rPr>
                <w:rFonts w:ascii="Times New Roman" w:hAnsi="Times New Roman" w:cs="Times New Roman"/>
              </w:rPr>
            </w:pPr>
            <w:r>
              <w:rPr>
                <w:rFonts w:ascii="Times New Roman" w:hAnsi="Times New Roman" w:cs="Times New Roman"/>
              </w:rPr>
              <w:t xml:space="preserve">Possible violations of the District’s </w:t>
            </w:r>
            <w:hyperlink r:id="rId104" w:history="1">
              <w:r w:rsidRPr="0085765E">
                <w:rPr>
                  <w:rStyle w:val="Hyperlink"/>
                  <w:rFonts w:ascii="Times New Roman" w:hAnsi="Times New Roman" w:cs="Times New Roman"/>
                </w:rPr>
                <w:t>policies</w:t>
              </w:r>
            </w:hyperlink>
            <w:r>
              <w:rPr>
                <w:rFonts w:ascii="Times New Roman" w:hAnsi="Times New Roman" w:cs="Times New Roman"/>
              </w:rPr>
              <w:t xml:space="preserve"> regarding violations of the equal employment opportunity, nondiscrimination, and disability discrimination.</w:t>
            </w:r>
            <w:r>
              <w:rPr>
                <w:rStyle w:val="EndnoteReference"/>
                <w:rFonts w:ascii="Times New Roman" w:hAnsi="Times New Roman" w:cs="Times New Roman"/>
              </w:rPr>
              <w:endnoteReference w:id="50"/>
            </w:r>
          </w:p>
          <w:p w14:paraId="1679A769" w14:textId="009E10FA" w:rsidR="00720091" w:rsidRDefault="00DC7C37" w:rsidP="00D47FBD">
            <w:pPr>
              <w:pStyle w:val="TableStyle"/>
              <w:numPr>
                <w:ilvl w:val="0"/>
                <w:numId w:val="19"/>
              </w:numPr>
              <w:tabs>
                <w:tab w:val="left" w:pos="3080"/>
              </w:tabs>
              <w:jc w:val="left"/>
              <w:rPr>
                <w:rFonts w:ascii="Times New Roman" w:hAnsi="Times New Roman" w:cs="Times New Roman"/>
              </w:rPr>
            </w:pPr>
            <w:hyperlink r:id="rId105" w:history="1">
              <w:r w:rsidR="00720091" w:rsidRPr="0085765E">
                <w:rPr>
                  <w:rStyle w:val="Hyperlink"/>
                  <w:rFonts w:ascii="Times New Roman" w:hAnsi="Times New Roman" w:cs="Times New Roman"/>
                </w:rPr>
                <w:t>Matriculation complaints</w:t>
              </w:r>
            </w:hyperlink>
            <w:r w:rsidR="00720091">
              <w:rPr>
                <w:rFonts w:ascii="Times New Roman" w:hAnsi="Times New Roman" w:cs="Times New Roman"/>
              </w:rPr>
              <w:t xml:space="preserve"> and how </w:t>
            </w:r>
            <w:r w:rsidR="00720091">
              <w:rPr>
                <w:rFonts w:ascii="Times New Roman" w:hAnsi="Times New Roman" w:cs="Times New Roman"/>
              </w:rPr>
              <w:lastRenderedPageBreak/>
              <w:t>to appeal grades, disqualification, academic conduct and disciplinary actions.</w:t>
            </w:r>
            <w:r w:rsidR="00720091">
              <w:rPr>
                <w:rStyle w:val="EndnoteReference"/>
                <w:rFonts w:ascii="Times New Roman" w:hAnsi="Times New Roman" w:cs="Times New Roman"/>
              </w:rPr>
              <w:endnoteReference w:id="51"/>
            </w:r>
          </w:p>
          <w:p w14:paraId="0753D8A3" w14:textId="77777777" w:rsidR="00720091" w:rsidRDefault="00720091" w:rsidP="00A91A5E">
            <w:pPr>
              <w:pStyle w:val="TableStyle"/>
              <w:tabs>
                <w:tab w:val="left" w:pos="3080"/>
              </w:tabs>
              <w:jc w:val="left"/>
              <w:rPr>
                <w:rFonts w:ascii="Times New Roman" w:hAnsi="Times New Roman" w:cs="Times New Roman"/>
              </w:rPr>
            </w:pPr>
          </w:p>
          <w:p w14:paraId="1179F1BE" w14:textId="67DB87E0" w:rsidR="00720091" w:rsidRDefault="00720091" w:rsidP="009437F0">
            <w:pPr>
              <w:rPr>
                <w:rFonts w:cs="Times New Roman"/>
              </w:rPr>
            </w:pPr>
            <w:r w:rsidRPr="003F2E84">
              <w:rPr>
                <w:rFonts w:cs="Times New Roman"/>
              </w:rPr>
              <w:t>The college catalog lists the contacts for various complaints and related processes.</w:t>
            </w:r>
            <w:r w:rsidR="009437F0">
              <w:rPr>
                <w:rFonts w:cs="Times New Roman"/>
              </w:rPr>
              <w:t xml:space="preserve">  </w:t>
            </w:r>
            <w:r w:rsidRPr="00A91A5E">
              <w:rPr>
                <w:rFonts w:cs="Times New Roman"/>
              </w:rPr>
              <w:t>Students with complaints, grievances, and personal concerns about Santa Monica College or any of its policies are encouraged to discuss them with the College Ombudsperson. The Ombudsperson provides support and encouragement to students, and attempts to present options and solutions. Complaints are handled with complete confidentiality on a case-by-case basis</w:t>
            </w:r>
            <w:r>
              <w:rPr>
                <w:rFonts w:cs="Times New Roman"/>
              </w:rPr>
              <w:t>.</w:t>
            </w:r>
          </w:p>
          <w:p w14:paraId="52CB9F3B" w14:textId="41E95CDE" w:rsidR="00720091" w:rsidRDefault="00720091" w:rsidP="005B0C71">
            <w:pPr>
              <w:pStyle w:val="TableStyle"/>
              <w:tabs>
                <w:tab w:val="left" w:pos="3080"/>
              </w:tabs>
              <w:jc w:val="left"/>
            </w:pPr>
          </w:p>
        </w:tc>
      </w:tr>
      <w:tr w:rsidR="00720091" w14:paraId="3A266CD3" w14:textId="77777777" w:rsidTr="00BE0DF5">
        <w:tc>
          <w:tcPr>
            <w:tcW w:w="8990" w:type="dxa"/>
          </w:tcPr>
          <w:p w14:paraId="41120553" w14:textId="77777777" w:rsidR="00720091" w:rsidRDefault="00720091" w:rsidP="005B0C71">
            <w:pPr>
              <w:pStyle w:val="TableStyle"/>
              <w:tabs>
                <w:tab w:val="left" w:pos="3080"/>
              </w:tabs>
              <w:jc w:val="left"/>
            </w:pPr>
            <w:r>
              <w:lastRenderedPageBreak/>
              <w:t>The student complaint files for the previous six years (since the last comprehensive evaluation) are available; the files demonstrate accurate implementation of the complaint policies and procedures.</w:t>
            </w:r>
          </w:p>
          <w:p w14:paraId="6B632B2C" w14:textId="77777777" w:rsidR="00720091" w:rsidRDefault="00720091" w:rsidP="005B0C71">
            <w:pPr>
              <w:pStyle w:val="TableStyle"/>
              <w:tabs>
                <w:tab w:val="left" w:pos="3080"/>
              </w:tabs>
              <w:jc w:val="left"/>
            </w:pPr>
          </w:p>
          <w:p w14:paraId="5D118DE6" w14:textId="6225406B" w:rsidR="00720091" w:rsidRDefault="00720091" w:rsidP="005B0C71">
            <w:pPr>
              <w:pStyle w:val="TableStyle"/>
              <w:tabs>
                <w:tab w:val="left" w:pos="3080"/>
              </w:tabs>
              <w:jc w:val="left"/>
              <w:rPr>
                <w:rFonts w:ascii="Times New Roman" w:hAnsi="Times New Roman" w:cs="Times New Roman"/>
              </w:rPr>
            </w:pPr>
            <w:r w:rsidRPr="00A91A5E">
              <w:rPr>
                <w:rFonts w:ascii="Times New Roman" w:hAnsi="Times New Roman" w:cs="Times New Roman"/>
              </w:rPr>
              <w:t>Most student complaints are first filed with the Student Services. If the complaint is instructio</w:t>
            </w:r>
            <w:r>
              <w:rPr>
                <w:rFonts w:ascii="Times New Roman" w:hAnsi="Times New Roman" w:cs="Times New Roman"/>
              </w:rPr>
              <w:t>n-related, it is referred to Academic Affairs</w:t>
            </w:r>
            <w:r w:rsidR="0085765E">
              <w:rPr>
                <w:rFonts w:ascii="Times New Roman" w:hAnsi="Times New Roman" w:cs="Times New Roman"/>
              </w:rPr>
              <w:t>.  P</w:t>
            </w:r>
            <w:r>
              <w:rPr>
                <w:rFonts w:ascii="Times New Roman" w:hAnsi="Times New Roman" w:cs="Times New Roman"/>
              </w:rPr>
              <w:t xml:space="preserve">ersonnel-related complaints </w:t>
            </w:r>
            <w:r w:rsidR="0085765E">
              <w:rPr>
                <w:rFonts w:ascii="Times New Roman" w:hAnsi="Times New Roman" w:cs="Times New Roman"/>
              </w:rPr>
              <w:t xml:space="preserve">including </w:t>
            </w:r>
            <w:r>
              <w:rPr>
                <w:rFonts w:ascii="Times New Roman" w:hAnsi="Times New Roman" w:cs="Times New Roman"/>
              </w:rPr>
              <w:t>harassment and discrimination complaints are referred to the Human Resources Office</w:t>
            </w:r>
            <w:r w:rsidRPr="00A91A5E">
              <w:rPr>
                <w:rFonts w:ascii="Times New Roman" w:hAnsi="Times New Roman" w:cs="Times New Roman"/>
              </w:rPr>
              <w:t xml:space="preserve">. The initial complaints concerning student conduct, student discipline, and unjust treatment for the last six years are on file in Student </w:t>
            </w:r>
            <w:r>
              <w:rPr>
                <w:rFonts w:ascii="Times New Roman" w:hAnsi="Times New Roman" w:cs="Times New Roman"/>
              </w:rPr>
              <w:t>Affairs</w:t>
            </w:r>
            <w:r w:rsidRPr="00A91A5E">
              <w:rPr>
                <w:rFonts w:ascii="Times New Roman" w:hAnsi="Times New Roman" w:cs="Times New Roman"/>
              </w:rPr>
              <w:t>. All complaints have followed pres</w:t>
            </w:r>
            <w:r w:rsidR="00355ABC">
              <w:rPr>
                <w:rFonts w:ascii="Times New Roman" w:hAnsi="Times New Roman" w:cs="Times New Roman"/>
              </w:rPr>
              <w:t>cribed policies and procedures.</w:t>
            </w:r>
          </w:p>
          <w:p w14:paraId="2A091990" w14:textId="4F03BA5E" w:rsidR="00355ABC" w:rsidRPr="00355ABC" w:rsidRDefault="00355ABC" w:rsidP="005B0C71">
            <w:pPr>
              <w:pStyle w:val="TableStyle"/>
              <w:tabs>
                <w:tab w:val="left" w:pos="3080"/>
              </w:tabs>
              <w:jc w:val="left"/>
              <w:rPr>
                <w:rFonts w:ascii="Times New Roman" w:hAnsi="Times New Roman" w:cs="Times New Roman"/>
              </w:rPr>
            </w:pPr>
          </w:p>
        </w:tc>
      </w:tr>
      <w:tr w:rsidR="00720091" w14:paraId="2E128BE2" w14:textId="77777777" w:rsidTr="00BE0DF5">
        <w:tc>
          <w:tcPr>
            <w:tcW w:w="8990" w:type="dxa"/>
          </w:tcPr>
          <w:p w14:paraId="4C40218B" w14:textId="77777777" w:rsidR="00720091" w:rsidRDefault="00720091" w:rsidP="005B0C71">
            <w:pPr>
              <w:pStyle w:val="TableStyle"/>
              <w:tabs>
                <w:tab w:val="left" w:pos="3080"/>
              </w:tabs>
              <w:jc w:val="left"/>
            </w:pPr>
            <w:r>
              <w:t>The team analysis of the student complaint files identifies any issues that may be indicative of the institution’s noncompliance with any Accreditation Standards.</w:t>
            </w:r>
          </w:p>
          <w:p w14:paraId="5353B90C" w14:textId="77777777" w:rsidR="00720091" w:rsidRDefault="00720091" w:rsidP="005B0C71">
            <w:pPr>
              <w:pStyle w:val="TableStyle"/>
              <w:tabs>
                <w:tab w:val="left" w:pos="3080"/>
              </w:tabs>
              <w:jc w:val="left"/>
            </w:pPr>
          </w:p>
          <w:p w14:paraId="057DA406" w14:textId="77777777" w:rsidR="00720091" w:rsidRDefault="00720091" w:rsidP="005B0C71">
            <w:pPr>
              <w:pStyle w:val="TableStyle"/>
              <w:tabs>
                <w:tab w:val="left" w:pos="3080"/>
              </w:tabs>
              <w:jc w:val="left"/>
              <w:rPr>
                <w:rFonts w:ascii="Times New Roman" w:hAnsi="Times New Roman" w:cs="Times New Roman"/>
              </w:rPr>
            </w:pPr>
            <w:r>
              <w:rPr>
                <w:rFonts w:ascii="Times New Roman" w:hAnsi="Times New Roman" w:cs="Times New Roman"/>
              </w:rPr>
              <w:t>This will be determined by the External Evaluation Team.</w:t>
            </w:r>
          </w:p>
          <w:p w14:paraId="01B23E74" w14:textId="40242B94" w:rsidR="00355ABC" w:rsidRPr="00355ABC" w:rsidRDefault="00355ABC" w:rsidP="005B0C71">
            <w:pPr>
              <w:pStyle w:val="TableStyle"/>
              <w:tabs>
                <w:tab w:val="left" w:pos="3080"/>
              </w:tabs>
              <w:jc w:val="left"/>
              <w:rPr>
                <w:rFonts w:ascii="Times New Roman" w:hAnsi="Times New Roman" w:cs="Times New Roman"/>
              </w:rPr>
            </w:pPr>
          </w:p>
        </w:tc>
      </w:tr>
      <w:tr w:rsidR="00EF407A" w14:paraId="22E63A0C" w14:textId="77777777" w:rsidTr="00BE0DF5">
        <w:tc>
          <w:tcPr>
            <w:tcW w:w="8990" w:type="dxa"/>
          </w:tcPr>
          <w:p w14:paraId="5A26BAA9" w14:textId="4AAC433B" w:rsidR="00720091" w:rsidRDefault="00720091" w:rsidP="005B0C71">
            <w:pPr>
              <w:pStyle w:val="TableStyle"/>
              <w:tabs>
                <w:tab w:val="left" w:pos="3080"/>
              </w:tabs>
              <w:jc w:val="left"/>
            </w:pPr>
            <w:r>
              <w:t>The institution posts on its website the names of associations, agencies and governmental bodies that accredit, approve, or license the institution and any of its programs, and provides contact information for filing complaints with such entities.</w:t>
            </w:r>
          </w:p>
          <w:p w14:paraId="03BAAF00" w14:textId="77777777" w:rsidR="00720091" w:rsidRDefault="00720091" w:rsidP="005B0C71">
            <w:pPr>
              <w:pStyle w:val="TableStyle"/>
              <w:tabs>
                <w:tab w:val="left" w:pos="3080"/>
              </w:tabs>
              <w:jc w:val="left"/>
            </w:pPr>
          </w:p>
          <w:p w14:paraId="35E14285" w14:textId="767F6653" w:rsidR="00720091" w:rsidRPr="00716D3D" w:rsidRDefault="00720091" w:rsidP="00BE0DF5">
            <w:pPr>
              <w:pStyle w:val="TableStyle"/>
              <w:tabs>
                <w:tab w:val="left" w:pos="3080"/>
              </w:tabs>
              <w:jc w:val="left"/>
              <w:rPr>
                <w:rFonts w:ascii="Times New Roman" w:hAnsi="Times New Roman" w:cs="Times New Roman"/>
              </w:rPr>
            </w:pPr>
            <w:r w:rsidRPr="00716D3D">
              <w:rPr>
                <w:rFonts w:ascii="Times New Roman" w:hAnsi="Times New Roman" w:cs="Times New Roman"/>
              </w:rPr>
              <w:t xml:space="preserve">In addition to the ACCJC, Santa Monica College is under the authority of two other accrediting bodies, including the </w:t>
            </w:r>
            <w:hyperlink r:id="rId106" w:history="1">
              <w:r w:rsidRPr="0085765E">
                <w:rPr>
                  <w:rStyle w:val="Hyperlink"/>
                  <w:rFonts w:ascii="Times New Roman" w:hAnsi="Times New Roman" w:cs="Times New Roman"/>
                </w:rPr>
                <w:t>Accreditation Commission for Education in Nursing</w:t>
              </w:r>
            </w:hyperlink>
            <w:r w:rsidRPr="00716D3D">
              <w:rPr>
                <w:rStyle w:val="EndnoteReference"/>
                <w:rFonts w:ascii="Times New Roman" w:hAnsi="Times New Roman" w:cs="Times New Roman"/>
              </w:rPr>
              <w:endnoteReference w:id="52"/>
            </w:r>
            <w:r w:rsidRPr="00716D3D">
              <w:rPr>
                <w:rFonts w:ascii="Times New Roman" w:hAnsi="Times New Roman" w:cs="Times New Roman"/>
              </w:rPr>
              <w:t xml:space="preserve"> (ACEN, formerly known as the National League for Nursing Accrediting Commission) and the </w:t>
            </w:r>
            <w:hyperlink r:id="rId107" w:history="1">
              <w:r w:rsidRPr="0085765E">
                <w:rPr>
                  <w:rStyle w:val="Hyperlink"/>
                  <w:rFonts w:ascii="Times New Roman" w:hAnsi="Times New Roman" w:cs="Times New Roman"/>
                </w:rPr>
                <w:t>Commission on Accreditation for Respiratory Therapy</w:t>
              </w:r>
            </w:hyperlink>
            <w:r w:rsidRPr="00716D3D">
              <w:rPr>
                <w:rStyle w:val="EndnoteReference"/>
                <w:rFonts w:ascii="Times New Roman" w:hAnsi="Times New Roman" w:cs="Times New Roman"/>
              </w:rPr>
              <w:endnoteReference w:id="53"/>
            </w:r>
            <w:r w:rsidRPr="00716D3D">
              <w:rPr>
                <w:rFonts w:ascii="Times New Roman" w:hAnsi="Times New Roman" w:cs="Times New Roman"/>
              </w:rPr>
              <w:t xml:space="preserve"> (CoARC, accredited as a consortium with East Los Angeles College). The college catalog, which is posted on the website, includes this information</w:t>
            </w:r>
            <w:r>
              <w:rPr>
                <w:rFonts w:ascii="Times New Roman" w:hAnsi="Times New Roman" w:cs="Times New Roman"/>
              </w:rPr>
              <w:t xml:space="preserve"> as do the webpages for the </w:t>
            </w:r>
            <w:hyperlink r:id="rId108" w:history="1">
              <w:r w:rsidRPr="0085765E">
                <w:rPr>
                  <w:rStyle w:val="Hyperlink"/>
                  <w:rFonts w:ascii="Times New Roman" w:hAnsi="Times New Roman" w:cs="Times New Roman"/>
                </w:rPr>
                <w:t>Nursing program</w:t>
              </w:r>
            </w:hyperlink>
            <w:r>
              <w:rPr>
                <w:rStyle w:val="EndnoteReference"/>
                <w:rFonts w:ascii="Times New Roman" w:hAnsi="Times New Roman" w:cs="Times New Roman"/>
              </w:rPr>
              <w:endnoteReference w:id="54"/>
            </w:r>
            <w:r>
              <w:rPr>
                <w:rFonts w:ascii="Times New Roman" w:hAnsi="Times New Roman" w:cs="Times New Roman"/>
              </w:rPr>
              <w:t xml:space="preserve"> and the </w:t>
            </w:r>
            <w:hyperlink r:id="rId109" w:history="1">
              <w:r w:rsidRPr="0085765E">
                <w:rPr>
                  <w:rStyle w:val="Hyperlink"/>
                  <w:rFonts w:ascii="Times New Roman" w:hAnsi="Times New Roman" w:cs="Times New Roman"/>
                </w:rPr>
                <w:t>Respiratory Therapy Program</w:t>
              </w:r>
            </w:hyperlink>
            <w:r>
              <w:rPr>
                <w:rFonts w:ascii="Times New Roman" w:hAnsi="Times New Roman" w:cs="Times New Roman"/>
              </w:rPr>
              <w:t>.</w:t>
            </w:r>
            <w:r>
              <w:rPr>
                <w:rStyle w:val="EndnoteReference"/>
                <w:rFonts w:ascii="Times New Roman" w:hAnsi="Times New Roman" w:cs="Times New Roman"/>
              </w:rPr>
              <w:endnoteReference w:id="55"/>
            </w:r>
            <w:r w:rsidRPr="00716D3D">
              <w:rPr>
                <w:rFonts w:ascii="Times New Roman" w:hAnsi="Times New Roman" w:cs="Times New Roman"/>
              </w:rPr>
              <w:t xml:space="preserve">  </w:t>
            </w:r>
          </w:p>
          <w:p w14:paraId="2A56EBD4" w14:textId="77777777" w:rsidR="00720091" w:rsidRPr="00716D3D" w:rsidRDefault="00720091" w:rsidP="00BE0DF5">
            <w:pPr>
              <w:pStyle w:val="TableStyle"/>
              <w:tabs>
                <w:tab w:val="left" w:pos="3080"/>
              </w:tabs>
              <w:jc w:val="left"/>
              <w:rPr>
                <w:rFonts w:ascii="Times New Roman" w:hAnsi="Times New Roman" w:cs="Times New Roman"/>
              </w:rPr>
            </w:pPr>
          </w:p>
          <w:p w14:paraId="4582098D" w14:textId="49572238" w:rsidR="00720091" w:rsidRPr="00716D3D" w:rsidRDefault="00720091" w:rsidP="00BE0DF5">
            <w:pPr>
              <w:pStyle w:val="TableStyle"/>
              <w:tabs>
                <w:tab w:val="left" w:pos="3080"/>
              </w:tabs>
              <w:jc w:val="left"/>
              <w:rPr>
                <w:rFonts w:ascii="Times New Roman" w:hAnsi="Times New Roman" w:cs="Times New Roman"/>
              </w:rPr>
            </w:pPr>
            <w:r w:rsidRPr="00716D3D">
              <w:rPr>
                <w:rFonts w:ascii="Times New Roman" w:hAnsi="Times New Roman" w:cs="Times New Roman"/>
              </w:rPr>
              <w:t xml:space="preserve">There are </w:t>
            </w:r>
            <w:r>
              <w:rPr>
                <w:rFonts w:ascii="Times New Roman" w:hAnsi="Times New Roman" w:cs="Times New Roman"/>
              </w:rPr>
              <w:t xml:space="preserve">also </w:t>
            </w:r>
            <w:r w:rsidRPr="00716D3D">
              <w:rPr>
                <w:rFonts w:ascii="Times New Roman" w:hAnsi="Times New Roman" w:cs="Times New Roman"/>
              </w:rPr>
              <w:t xml:space="preserve">several state approval bodies guiding the College’s instructional programs, including the California Bureau for Registered Nursing and the State of California Board of Barbering and Cosmetology, which approves the </w:t>
            </w:r>
            <w:hyperlink r:id="rId110" w:history="1">
              <w:r w:rsidRPr="0085765E">
                <w:rPr>
                  <w:rStyle w:val="Hyperlink"/>
                  <w:rFonts w:ascii="Times New Roman" w:hAnsi="Times New Roman" w:cs="Times New Roman"/>
                </w:rPr>
                <w:t>Cosmetology Program</w:t>
              </w:r>
            </w:hyperlink>
            <w:r w:rsidRPr="00716D3D">
              <w:rPr>
                <w:rFonts w:ascii="Times New Roman" w:hAnsi="Times New Roman" w:cs="Times New Roman"/>
              </w:rPr>
              <w:t>.</w:t>
            </w:r>
            <w:r>
              <w:rPr>
                <w:rStyle w:val="EndnoteReference"/>
                <w:rFonts w:ascii="Times New Roman" w:hAnsi="Times New Roman" w:cs="Times New Roman"/>
              </w:rPr>
              <w:endnoteReference w:id="56"/>
            </w:r>
            <w:r w:rsidRPr="00716D3D">
              <w:rPr>
                <w:rFonts w:ascii="Times New Roman" w:hAnsi="Times New Roman" w:cs="Times New Roman"/>
              </w:rPr>
              <w:t xml:space="preserve">  On the non-instructional side, Santa Monica College’s Athletics Program is governed by the California Community College Athletic Association (CCCAA)</w:t>
            </w:r>
            <w:r>
              <w:rPr>
                <w:rFonts w:ascii="Times New Roman" w:hAnsi="Times New Roman" w:cs="Times New Roman"/>
              </w:rPr>
              <w:t xml:space="preserve"> and the Athletics website (</w:t>
            </w:r>
            <w:hyperlink r:id="rId111" w:history="1">
              <w:r w:rsidRPr="00654143">
                <w:rPr>
                  <w:rStyle w:val="Hyperlink"/>
                  <w:rFonts w:ascii="Times New Roman" w:hAnsi="Times New Roman" w:cs="Times New Roman"/>
                </w:rPr>
                <w:t>www.smccorsairs.com/landing.index</w:t>
              </w:r>
            </w:hyperlink>
            <w:r>
              <w:rPr>
                <w:rFonts w:ascii="Times New Roman" w:hAnsi="Times New Roman" w:cs="Times New Roman"/>
              </w:rPr>
              <w:t xml:space="preserve">) provides a direct link to the </w:t>
            </w:r>
            <w:hyperlink r:id="rId112" w:history="1">
              <w:r w:rsidRPr="0085765E">
                <w:rPr>
                  <w:rStyle w:val="Hyperlink"/>
                  <w:rFonts w:ascii="Times New Roman" w:hAnsi="Times New Roman" w:cs="Times New Roman"/>
                </w:rPr>
                <w:t>CCCAA</w:t>
              </w:r>
            </w:hyperlink>
            <w:r w:rsidRPr="00716D3D">
              <w:rPr>
                <w:rFonts w:ascii="Times New Roman" w:hAnsi="Times New Roman" w:cs="Times New Roman"/>
              </w:rPr>
              <w:t>.</w:t>
            </w:r>
            <w:r>
              <w:rPr>
                <w:rStyle w:val="EndnoteReference"/>
                <w:rFonts w:ascii="Times New Roman" w:hAnsi="Times New Roman" w:cs="Times New Roman"/>
              </w:rPr>
              <w:endnoteReference w:id="57"/>
            </w:r>
          </w:p>
          <w:p w14:paraId="2BD84DF8" w14:textId="662558E0" w:rsidR="00A91A5E" w:rsidRDefault="00A91A5E" w:rsidP="005B0C71">
            <w:pPr>
              <w:pStyle w:val="TableStyle"/>
              <w:tabs>
                <w:tab w:val="left" w:pos="3080"/>
              </w:tabs>
              <w:jc w:val="left"/>
              <w:rPr>
                <w:rFonts w:ascii="Times New Roman" w:hAnsi="Times New Roman" w:cs="Times New Roman"/>
              </w:rPr>
            </w:pPr>
            <w:r>
              <w:rPr>
                <w:rFonts w:ascii="Times New Roman" w:hAnsi="Times New Roman" w:cs="Times New Roman"/>
              </w:rPr>
              <w:t xml:space="preserve"> </w:t>
            </w:r>
          </w:p>
          <w:p w14:paraId="1B623DB6" w14:textId="03C4CC7D" w:rsidR="00A91A5E" w:rsidRDefault="00BE0DF5" w:rsidP="001B2B08">
            <w:pPr>
              <w:pStyle w:val="TableStyle"/>
              <w:tabs>
                <w:tab w:val="left" w:pos="3080"/>
              </w:tabs>
              <w:jc w:val="left"/>
            </w:pPr>
            <w:r>
              <w:t>(See Standards IC.13)</w:t>
            </w:r>
          </w:p>
        </w:tc>
      </w:tr>
      <w:tr w:rsidR="00EF407A" w14:paraId="2AB63D5F" w14:textId="77777777" w:rsidTr="00BE0DF5">
        <w:tc>
          <w:tcPr>
            <w:tcW w:w="8990" w:type="dxa"/>
          </w:tcPr>
          <w:p w14:paraId="438DFBAC" w14:textId="01A53C01" w:rsidR="00EF407A" w:rsidRDefault="00EF407A" w:rsidP="005B0C71">
            <w:pPr>
              <w:pStyle w:val="TableStyle"/>
              <w:tabs>
                <w:tab w:val="left" w:pos="3080"/>
              </w:tabs>
              <w:jc w:val="left"/>
            </w:pPr>
            <w:r>
              <w:lastRenderedPageBreak/>
              <w:t>The institution demonstrates compliance with the Commission Policy on Representation of Accredited Status and the Policy on Student and Public Complaints Against Institutions.</w:t>
            </w:r>
          </w:p>
          <w:p w14:paraId="7E725884" w14:textId="77777777" w:rsidR="00EF407A" w:rsidRDefault="00EF407A" w:rsidP="005B0C71">
            <w:pPr>
              <w:pStyle w:val="TableStyle"/>
              <w:tabs>
                <w:tab w:val="left" w:pos="3080"/>
              </w:tabs>
              <w:jc w:val="left"/>
              <w:rPr>
                <w:rFonts w:cs="Times New Roman"/>
              </w:rPr>
            </w:pPr>
          </w:p>
          <w:p w14:paraId="2FCEC708" w14:textId="4E5C25D5" w:rsidR="009D7D09" w:rsidRPr="009D7D09" w:rsidRDefault="009D7D09" w:rsidP="009D7D09">
            <w:pPr>
              <w:pStyle w:val="TableStyle"/>
              <w:tabs>
                <w:tab w:val="left" w:pos="3080"/>
              </w:tabs>
              <w:jc w:val="left"/>
              <w:rPr>
                <w:rFonts w:ascii="Times New Roman" w:hAnsi="Times New Roman" w:cs="Times New Roman"/>
              </w:rPr>
            </w:pPr>
            <w:r>
              <w:rPr>
                <w:rFonts w:ascii="Times New Roman" w:hAnsi="Times New Roman" w:cs="Times New Roman"/>
              </w:rPr>
              <w:t>The College complies with the Commission Policy on student and public complaints; the College has not had a complaint filed with ACCJC in the last six years</w:t>
            </w:r>
            <w:r w:rsidR="003F2E84">
              <w:rPr>
                <w:rFonts w:ascii="Times New Roman" w:hAnsi="Times New Roman" w:cs="Times New Roman"/>
              </w:rPr>
              <w:t xml:space="preserve"> to the College’s knowledge</w:t>
            </w:r>
            <w:r>
              <w:rPr>
                <w:rFonts w:ascii="Times New Roman" w:hAnsi="Times New Roman" w:cs="Times New Roman"/>
              </w:rPr>
              <w:t xml:space="preserve">.  </w:t>
            </w:r>
          </w:p>
        </w:tc>
      </w:tr>
    </w:tbl>
    <w:p w14:paraId="4E2F1E17" w14:textId="32C6F732" w:rsidR="00623A87" w:rsidRDefault="00623A87" w:rsidP="00623A87">
      <w:pPr>
        <w:pStyle w:val="Heading3"/>
      </w:pPr>
      <w:r>
        <w:t xml:space="preserve">Policy Institution Advertising, Student Recruitment, and Representation of Accredited Status </w:t>
      </w:r>
    </w:p>
    <w:p w14:paraId="00A224DD" w14:textId="196C7AEA" w:rsidR="00623A87" w:rsidRDefault="00623A87">
      <w:r>
        <w:t xml:space="preserve">Santa Monica College provides students and prospective students clear and accurate information about itself in all publications that are disseminated in the name of the institution.  Examples of applicable publications include the college catalog, the class schedule, </w:t>
      </w:r>
      <w:r w:rsidR="007A215F">
        <w:t xml:space="preserve">public information announcements, and website communications.  </w:t>
      </w:r>
    </w:p>
    <w:p w14:paraId="01EA8B17" w14:textId="77777777" w:rsidR="00623A87" w:rsidRDefault="00623A87"/>
    <w:tbl>
      <w:tblPr>
        <w:tblStyle w:val="TableGrid"/>
        <w:tblW w:w="0" w:type="auto"/>
        <w:tblLook w:val="04A0" w:firstRow="1" w:lastRow="0" w:firstColumn="1" w:lastColumn="0" w:noHBand="0" w:noVBand="1"/>
      </w:tblPr>
      <w:tblGrid>
        <w:gridCol w:w="8990"/>
      </w:tblGrid>
      <w:tr w:rsidR="00112872" w14:paraId="66D175C2" w14:textId="77777777" w:rsidTr="00EE4EAF">
        <w:tc>
          <w:tcPr>
            <w:tcW w:w="8990" w:type="dxa"/>
            <w:vAlign w:val="center"/>
          </w:tcPr>
          <w:p w14:paraId="6B73D6BA" w14:textId="77777777" w:rsidR="00112872" w:rsidRPr="00112872" w:rsidRDefault="00112872" w:rsidP="00112872">
            <w:pPr>
              <w:pStyle w:val="TableStyle"/>
              <w:tabs>
                <w:tab w:val="left" w:pos="3080"/>
              </w:tabs>
              <w:rPr>
                <w:b/>
              </w:rPr>
            </w:pPr>
            <w:r w:rsidRPr="00112872">
              <w:rPr>
                <w:b/>
              </w:rPr>
              <w:t>Institutional Disclosure and Advertising and Recruitment Materials</w:t>
            </w:r>
          </w:p>
          <w:p w14:paraId="7EB7A8BE" w14:textId="5811E548" w:rsidR="00112872" w:rsidRDefault="00112872" w:rsidP="00112872">
            <w:pPr>
              <w:pStyle w:val="TableStyle"/>
              <w:tabs>
                <w:tab w:val="left" w:pos="3080"/>
              </w:tabs>
            </w:pPr>
            <w:r>
              <w:t>Regulation citations: 602.16(a)(1))(vii); 668.6.</w:t>
            </w:r>
          </w:p>
        </w:tc>
      </w:tr>
      <w:tr w:rsidR="00EF407A" w14:paraId="3FC6E1C1" w14:textId="77777777" w:rsidTr="00EE4EAF">
        <w:tc>
          <w:tcPr>
            <w:tcW w:w="8990" w:type="dxa"/>
          </w:tcPr>
          <w:p w14:paraId="17CEB1CC" w14:textId="77777777" w:rsidR="00EF407A" w:rsidRDefault="00EF407A" w:rsidP="005B0C71">
            <w:pPr>
              <w:pStyle w:val="TableStyle"/>
              <w:tabs>
                <w:tab w:val="left" w:pos="3080"/>
              </w:tabs>
              <w:jc w:val="left"/>
            </w:pPr>
            <w:r>
              <w:t>The institution provides accurate, timely (current), and appropriately detailed information to students and the public about its programs, locations, and policies.</w:t>
            </w:r>
          </w:p>
          <w:p w14:paraId="6F878CD0" w14:textId="77777777" w:rsidR="00EF407A" w:rsidRDefault="00EF407A" w:rsidP="005B0C71">
            <w:pPr>
              <w:pStyle w:val="TableStyle"/>
              <w:tabs>
                <w:tab w:val="left" w:pos="3080"/>
              </w:tabs>
              <w:jc w:val="left"/>
            </w:pPr>
          </w:p>
          <w:p w14:paraId="4924C792" w14:textId="5E029F4D" w:rsidR="00EE4EAF" w:rsidRPr="00EE4EAF" w:rsidRDefault="00EE4EAF" w:rsidP="005B0C71">
            <w:pPr>
              <w:pStyle w:val="TableStyle"/>
              <w:tabs>
                <w:tab w:val="left" w:pos="3080"/>
              </w:tabs>
              <w:jc w:val="left"/>
              <w:rPr>
                <w:rFonts w:ascii="Times New Roman" w:hAnsi="Times New Roman" w:cs="Times New Roman"/>
                <w:color w:val="000000"/>
                <w:szCs w:val="24"/>
              </w:rPr>
            </w:pPr>
            <w:r w:rsidRPr="00EE4EAF">
              <w:rPr>
                <w:rFonts w:ascii="Times New Roman" w:hAnsi="Times New Roman" w:cs="Times New Roman"/>
                <w:color w:val="000000"/>
              </w:rPr>
              <w:t>To maintain consistency in representation, the content of the online catalog and schedule of classes mirror the hardcopy format of these documents.  The college catalog is updated every year.</w:t>
            </w:r>
            <w:r>
              <w:rPr>
                <w:rFonts w:ascii="Times New Roman" w:hAnsi="Times New Roman" w:cs="Times New Roman"/>
                <w:color w:val="000000"/>
              </w:rPr>
              <w:t xml:space="preserve">  </w:t>
            </w:r>
            <w:r w:rsidRPr="00EE4EAF">
              <w:rPr>
                <w:rFonts w:ascii="Times New Roman" w:hAnsi="Times New Roman" w:cs="Times New Roman"/>
                <w:color w:val="000000"/>
                <w:szCs w:val="24"/>
              </w:rPr>
              <w:t xml:space="preserve">The College’s Management Information Systems and Marketing Departments work closely with Enrollment Services to validate the information included in the class schedule which is mailed to 110,000 households each semester.  The College’s website (www.smc.edu) serves as the central hub where crucial information regarding college initiatives, educational offerings, and policies and procedures is communicated to students and the public.  </w:t>
            </w:r>
          </w:p>
          <w:p w14:paraId="23091803" w14:textId="77777777" w:rsidR="00EE4EAF" w:rsidRDefault="00EE4EAF" w:rsidP="005B0C71">
            <w:pPr>
              <w:pStyle w:val="TableStyle"/>
              <w:tabs>
                <w:tab w:val="left" w:pos="3080"/>
              </w:tabs>
              <w:jc w:val="left"/>
            </w:pPr>
          </w:p>
          <w:p w14:paraId="21150E00" w14:textId="0A89D321" w:rsidR="00EF407A" w:rsidRDefault="00EF407A" w:rsidP="007A215F">
            <w:pPr>
              <w:pStyle w:val="TableStyle"/>
              <w:tabs>
                <w:tab w:val="left" w:pos="3080"/>
              </w:tabs>
              <w:jc w:val="left"/>
            </w:pPr>
            <w:r>
              <w:rPr>
                <w:rFonts w:cs="Times New Roman"/>
              </w:rPr>
              <w:t xml:space="preserve">(See </w:t>
            </w:r>
            <w:r w:rsidRPr="00623A87">
              <w:rPr>
                <w:rFonts w:cs="Times New Roman"/>
              </w:rPr>
              <w:t xml:space="preserve">Standard </w:t>
            </w:r>
            <w:r w:rsidR="00623A87">
              <w:rPr>
                <w:rFonts w:cs="Times New Roman"/>
              </w:rPr>
              <w:t>IC.</w:t>
            </w:r>
            <w:r w:rsidR="007A215F">
              <w:rPr>
                <w:rFonts w:cs="Times New Roman"/>
              </w:rPr>
              <w:t>1</w:t>
            </w:r>
            <w:r w:rsidR="00EE4EAF">
              <w:rPr>
                <w:rFonts w:cs="Times New Roman"/>
              </w:rPr>
              <w:t>, IC.2</w:t>
            </w:r>
            <w:r>
              <w:rPr>
                <w:rFonts w:cs="Times New Roman"/>
              </w:rPr>
              <w:t>)</w:t>
            </w:r>
          </w:p>
        </w:tc>
      </w:tr>
      <w:tr w:rsidR="00EF407A" w14:paraId="70B2C0A2" w14:textId="77777777" w:rsidTr="00EE4EAF">
        <w:tc>
          <w:tcPr>
            <w:tcW w:w="8990" w:type="dxa"/>
          </w:tcPr>
          <w:p w14:paraId="3D46267B" w14:textId="77777777" w:rsidR="00EF407A" w:rsidRDefault="00EF407A" w:rsidP="005B0C71">
            <w:pPr>
              <w:pStyle w:val="TableStyle"/>
              <w:tabs>
                <w:tab w:val="left" w:pos="3080"/>
              </w:tabs>
              <w:jc w:val="left"/>
            </w:pPr>
            <w:r>
              <w:t>The institution complies with the Commission Policy on Institutional Advertising, Student Recruitment, and Representation of Accredited Status.</w:t>
            </w:r>
          </w:p>
          <w:p w14:paraId="2F3A8331" w14:textId="77777777" w:rsidR="00EF407A" w:rsidRDefault="00EF407A" w:rsidP="002F2CA0"/>
          <w:p w14:paraId="25DF46C4" w14:textId="1E7F2D6F" w:rsidR="00EF407A" w:rsidRDefault="00EF407A" w:rsidP="002F2CA0">
            <w:r w:rsidRPr="002F2CA0">
              <w:t>The institutional complies with the Commission Policy on Institutional Advertising, Student Recruitment, and Representation of Accredited Status.</w:t>
            </w:r>
            <w:r>
              <w:t xml:space="preserve">  The Catalog includes the required elements required by the ACCJC Accreditation Standards.</w:t>
            </w:r>
          </w:p>
          <w:p w14:paraId="0E60B633" w14:textId="77777777" w:rsidR="00EF407A" w:rsidRDefault="00EF407A" w:rsidP="002F2CA0"/>
          <w:p w14:paraId="3447E621" w14:textId="77777777" w:rsidR="00EF407A" w:rsidRDefault="00EF407A" w:rsidP="002F2CA0">
            <w:r>
              <w:t xml:space="preserve">Accurate information regarding Santa Monica College’s accreditation status is published in a comprehensive statement on the College’s website and in the annual catalog as follows: </w:t>
            </w:r>
          </w:p>
          <w:p w14:paraId="4554449F" w14:textId="277AF58F" w:rsidR="00EF407A" w:rsidRPr="00D56511" w:rsidRDefault="00EF407A" w:rsidP="00355ABC">
            <w:pPr>
              <w:spacing w:before="120" w:after="120"/>
              <w:ind w:left="432"/>
              <w:rPr>
                <w:rFonts w:eastAsia="Times New Roman" w:cs="Arial"/>
                <w:color w:val="000000"/>
              </w:rPr>
            </w:pPr>
            <w:r w:rsidRPr="00D56511">
              <w:rPr>
                <w:rFonts w:eastAsia="Times New Roman" w:cs="Arial"/>
                <w:color w:val="000000"/>
              </w:rPr>
              <w:t>“Santa Monica College is accredited by the Accrediting Commission for Community and Junior Colleges (</w:t>
            </w:r>
            <w:r w:rsidRPr="002F2CA0">
              <w:rPr>
                <w:rFonts w:eastAsia="Times New Roman" w:cs="Arial"/>
              </w:rPr>
              <w:t>ACCJC</w:t>
            </w:r>
            <w:r w:rsidRPr="00D56511">
              <w:rPr>
                <w:rFonts w:eastAsia="Times New Roman" w:cs="Arial"/>
                <w:color w:val="000000"/>
              </w:rPr>
              <w:t>), Western Association of Schools and Colleges (</w:t>
            </w:r>
            <w:r w:rsidRPr="002F2CA0">
              <w:rPr>
                <w:rFonts w:eastAsia="Times New Roman" w:cs="Arial"/>
              </w:rPr>
              <w:t>WASC</w:t>
            </w:r>
            <w:r w:rsidRPr="00D56511">
              <w:rPr>
                <w:rFonts w:eastAsia="Times New Roman" w:cs="Arial"/>
                <w:color w:val="000000"/>
              </w:rPr>
              <w:t>), 10 Commercial Blvd., Suite 204, Novato, CA 94949, (415) 506-0234, an institutional accrediting body recognized by the Council for Higher Education Accreditation (</w:t>
            </w:r>
            <w:r w:rsidRPr="002F2CA0">
              <w:rPr>
                <w:rFonts w:eastAsia="Times New Roman" w:cs="Arial"/>
              </w:rPr>
              <w:t>CHEA</w:t>
            </w:r>
            <w:r w:rsidRPr="00D56511">
              <w:rPr>
                <w:rFonts w:eastAsia="Times New Roman" w:cs="Arial"/>
                <w:color w:val="000000"/>
              </w:rPr>
              <w:t>) and the</w:t>
            </w:r>
            <w:r>
              <w:rPr>
                <w:rFonts w:eastAsia="Times New Roman" w:cs="Arial"/>
                <w:color w:val="000000"/>
              </w:rPr>
              <w:t xml:space="preserve"> </w:t>
            </w:r>
            <w:r w:rsidRPr="002F2CA0">
              <w:rPr>
                <w:rFonts w:eastAsia="Times New Roman" w:cs="Arial"/>
              </w:rPr>
              <w:t>U.S. Department of Education</w:t>
            </w:r>
            <w:r w:rsidRPr="00D56511">
              <w:rPr>
                <w:rFonts w:eastAsia="Times New Roman" w:cs="Arial"/>
                <w:color w:val="000000"/>
              </w:rPr>
              <w:t>.</w:t>
            </w:r>
            <w:r>
              <w:rPr>
                <w:rFonts w:eastAsia="Times New Roman" w:cs="Arial"/>
                <w:color w:val="000000"/>
              </w:rPr>
              <w:t xml:space="preserve"> </w:t>
            </w:r>
            <w:r w:rsidRPr="00D56511">
              <w:rPr>
                <w:rFonts w:eastAsia="Times New Roman" w:cs="Arial"/>
                <w:color w:val="000000"/>
              </w:rPr>
              <w:t>Additional information about accreditation, including the filing of complaints against member institutions, can be found at:</w:t>
            </w:r>
            <w:r>
              <w:rPr>
                <w:rFonts w:eastAsia="Times New Roman" w:cs="Arial"/>
                <w:color w:val="000000"/>
              </w:rPr>
              <w:t xml:space="preserve"> </w:t>
            </w:r>
            <w:r w:rsidRPr="002F2CA0">
              <w:rPr>
                <w:rFonts w:eastAsia="Times New Roman" w:cs="Arial"/>
              </w:rPr>
              <w:t>www.accjc.org</w:t>
            </w:r>
            <w:r w:rsidRPr="00D56511">
              <w:rPr>
                <w:rFonts w:eastAsia="Times New Roman" w:cs="Arial"/>
                <w:color w:val="000000"/>
              </w:rPr>
              <w:t>.</w:t>
            </w:r>
          </w:p>
          <w:p w14:paraId="4CD97049" w14:textId="59519459" w:rsidR="00EF407A" w:rsidRPr="00D56511" w:rsidRDefault="00EF407A" w:rsidP="00355ABC">
            <w:pPr>
              <w:spacing w:before="120" w:after="120"/>
              <w:ind w:left="432"/>
              <w:rPr>
                <w:rFonts w:eastAsia="Times New Roman" w:cs="Arial"/>
                <w:color w:val="000000"/>
              </w:rPr>
            </w:pPr>
            <w:r w:rsidRPr="00D56511">
              <w:rPr>
                <w:rFonts w:eastAsia="Times New Roman" w:cs="Arial"/>
                <w:color w:val="000000"/>
              </w:rPr>
              <w:t xml:space="preserve">ACCJC is one of seven institutional accrediting bodies recognized by the national Commission on Recognition of Postsecondary Accreditation and the </w:t>
            </w:r>
            <w:r>
              <w:rPr>
                <w:rFonts w:eastAsia="Times New Roman" w:cs="Arial"/>
                <w:color w:val="000000"/>
              </w:rPr>
              <w:t xml:space="preserve">U.S. Department of </w:t>
            </w:r>
            <w:r>
              <w:rPr>
                <w:rFonts w:eastAsia="Times New Roman" w:cs="Arial"/>
                <w:color w:val="000000"/>
              </w:rPr>
              <w:lastRenderedPageBreak/>
              <w:t xml:space="preserve">Education. </w:t>
            </w:r>
          </w:p>
          <w:p w14:paraId="4CB58945" w14:textId="1DC030E4" w:rsidR="00EF407A" w:rsidRPr="00D56511" w:rsidRDefault="00EF407A" w:rsidP="00355ABC">
            <w:pPr>
              <w:spacing w:before="120" w:after="120"/>
              <w:ind w:left="432"/>
              <w:rPr>
                <w:rFonts w:eastAsia="Times New Roman" w:cs="Arial"/>
                <w:color w:val="000000"/>
              </w:rPr>
            </w:pPr>
            <w:r w:rsidRPr="00D56511">
              <w:rPr>
                <w:rFonts w:eastAsia="Times New Roman" w:cs="Arial"/>
                <w:color w:val="000000"/>
              </w:rPr>
              <w:t>Accreditation is a voluntary system of self-regulation developed to evaluate overall educational quality and institutional effectiveness and to provide public assurance of the quality of educatio</w:t>
            </w:r>
            <w:r>
              <w:rPr>
                <w:rFonts w:eastAsia="Times New Roman" w:cs="Arial"/>
                <w:color w:val="000000"/>
              </w:rPr>
              <w:t>n based upon this evaluation.</w:t>
            </w:r>
          </w:p>
          <w:p w14:paraId="6B5FF35B" w14:textId="77777777" w:rsidR="00EF407A" w:rsidRPr="00D56511" w:rsidRDefault="00EF407A" w:rsidP="00355ABC">
            <w:pPr>
              <w:spacing w:before="120" w:after="120"/>
              <w:ind w:left="432"/>
              <w:rPr>
                <w:rFonts w:eastAsia="Times New Roman" w:cs="Arial"/>
                <w:color w:val="000000"/>
              </w:rPr>
            </w:pPr>
            <w:r w:rsidRPr="00D56511">
              <w:rPr>
                <w:rFonts w:eastAsia="Times New Roman" w:cs="Arial"/>
                <w:color w:val="000000"/>
              </w:rPr>
              <w:t xml:space="preserve">Each institution affiliated with ACCJC voluntarily accepts the obligation to participate in a cycle of evaluation that requires a comprehensive evaluation visit by an external team of peers. The cycle includes a mandatory Midterm Report in the third year as well as any other reports requested by the Commission. </w:t>
            </w:r>
          </w:p>
          <w:p w14:paraId="5B07DB59" w14:textId="5CB50DA1" w:rsidR="00EF407A" w:rsidRPr="00D56511" w:rsidRDefault="00EF407A" w:rsidP="00355ABC">
            <w:pPr>
              <w:spacing w:before="120" w:after="120"/>
              <w:ind w:left="432"/>
              <w:rPr>
                <w:rFonts w:eastAsia="Times New Roman" w:cs="Arial"/>
                <w:color w:val="000000"/>
              </w:rPr>
            </w:pPr>
            <w:r w:rsidRPr="00D56511">
              <w:rPr>
                <w:rFonts w:eastAsia="Times New Roman" w:cs="Arial"/>
                <w:color w:val="000000"/>
              </w:rPr>
              <w:t>Santa Monica College's accreditation was mos</w:t>
            </w:r>
            <w:r>
              <w:rPr>
                <w:rFonts w:eastAsia="Times New Roman" w:cs="Arial"/>
                <w:color w:val="000000"/>
              </w:rPr>
              <w:t xml:space="preserve">t recently reaffirmed through a </w:t>
            </w:r>
            <w:r w:rsidRPr="002F2CA0">
              <w:rPr>
                <w:rFonts w:eastAsia="Times New Roman" w:cs="Arial"/>
              </w:rPr>
              <w:t>March 2010 comprehensive visit</w:t>
            </w:r>
            <w:r w:rsidRPr="00D56511">
              <w:rPr>
                <w:rFonts w:eastAsia="Times New Roman" w:cs="Arial"/>
                <w:color w:val="000000"/>
              </w:rPr>
              <w:t xml:space="preserve">. </w:t>
            </w:r>
            <w:r>
              <w:rPr>
                <w:rFonts w:eastAsia="Times New Roman" w:cs="Arial"/>
                <w:color w:val="000000"/>
              </w:rPr>
              <w:t xml:space="preserve"> The College’</w:t>
            </w:r>
            <w:r w:rsidRPr="00D56511">
              <w:rPr>
                <w:rFonts w:eastAsia="Times New Roman" w:cs="Arial"/>
                <w:color w:val="000000"/>
              </w:rPr>
              <w:t>s</w:t>
            </w:r>
            <w:r>
              <w:rPr>
                <w:rFonts w:eastAsia="Times New Roman" w:cs="Arial"/>
                <w:color w:val="000000"/>
              </w:rPr>
              <w:t xml:space="preserve"> </w:t>
            </w:r>
            <w:r w:rsidRPr="002F2CA0">
              <w:rPr>
                <w:rFonts w:eastAsia="Times New Roman" w:cs="Arial"/>
              </w:rPr>
              <w:t>Midterm Report in March 2013</w:t>
            </w:r>
            <w:r>
              <w:rPr>
                <w:rFonts w:eastAsia="Times New Roman" w:cs="Arial"/>
                <w:color w:val="000000"/>
              </w:rPr>
              <w:t xml:space="preserve"> </w:t>
            </w:r>
            <w:r w:rsidRPr="00D56511">
              <w:rPr>
                <w:rFonts w:eastAsia="Times New Roman" w:cs="Arial"/>
                <w:color w:val="000000"/>
              </w:rPr>
              <w:t xml:space="preserve">was accepted by the commission.” </w:t>
            </w:r>
          </w:p>
          <w:p w14:paraId="473F243C" w14:textId="5776D7BF" w:rsidR="00EF407A" w:rsidRPr="002F2CA0" w:rsidRDefault="00EF407A" w:rsidP="001A7025">
            <w:pPr>
              <w:pStyle w:val="TableStyle"/>
              <w:tabs>
                <w:tab w:val="left" w:pos="3080"/>
              </w:tabs>
              <w:jc w:val="left"/>
              <w:rPr>
                <w:rFonts w:ascii="Times New Roman" w:hAnsi="Times New Roman" w:cs="Times New Roman"/>
              </w:rPr>
            </w:pPr>
            <w:r w:rsidRPr="002F2CA0">
              <w:rPr>
                <w:rFonts w:ascii="Times New Roman" w:hAnsi="Times New Roman" w:cs="Times New Roman"/>
              </w:rPr>
              <w:t xml:space="preserve">In addition the following statement is included in all press releases and other public announcements about the College, “Santa Monica College is a </w:t>
            </w:r>
            <w:r w:rsidRPr="002F2CA0">
              <w:rPr>
                <w:rFonts w:ascii="Times New Roman" w:hAnsi="Times New Roman" w:cs="Times New Roman"/>
                <w:bCs/>
              </w:rPr>
              <w:t>California Community College</w:t>
            </w:r>
            <w:r w:rsidRPr="002F2CA0">
              <w:rPr>
                <w:rFonts w:ascii="Times New Roman" w:hAnsi="Times New Roman" w:cs="Times New Roman"/>
              </w:rPr>
              <w:t xml:space="preserve"> accredited by the </w:t>
            </w:r>
            <w:r w:rsidRPr="002F2CA0">
              <w:rPr>
                <w:rFonts w:ascii="Times New Roman" w:hAnsi="Times New Roman" w:cs="Times New Roman"/>
                <w:bCs/>
              </w:rPr>
              <w:t>Accrediting Commission for Community and Junior Colleges (ACCJC)</w:t>
            </w:r>
            <w:r w:rsidRPr="002F2CA0">
              <w:rPr>
                <w:rFonts w:ascii="Times New Roman" w:hAnsi="Times New Roman" w:cs="Times New Roman"/>
              </w:rPr>
              <w:t xml:space="preserve"> of the </w:t>
            </w:r>
            <w:r w:rsidRPr="002F2CA0">
              <w:rPr>
                <w:rFonts w:ascii="Times New Roman" w:hAnsi="Times New Roman" w:cs="Times New Roman"/>
                <w:bCs/>
              </w:rPr>
              <w:t>Western Association of Schools and Colleges (WASC).”</w:t>
            </w:r>
          </w:p>
          <w:p w14:paraId="0FFEAB35" w14:textId="77777777" w:rsidR="00EF407A" w:rsidRDefault="00EF407A" w:rsidP="005B0C71">
            <w:pPr>
              <w:pStyle w:val="TableStyle"/>
              <w:tabs>
                <w:tab w:val="left" w:pos="3080"/>
              </w:tabs>
              <w:jc w:val="left"/>
            </w:pPr>
          </w:p>
          <w:p w14:paraId="6C7F74DA" w14:textId="441EFE73" w:rsidR="00EF407A" w:rsidRDefault="00EF407A" w:rsidP="00EE4EAF">
            <w:pPr>
              <w:pStyle w:val="TableStyle"/>
              <w:tabs>
                <w:tab w:val="left" w:pos="3080"/>
              </w:tabs>
              <w:jc w:val="left"/>
            </w:pPr>
            <w:r>
              <w:t xml:space="preserve">(See Standard </w:t>
            </w:r>
            <w:r w:rsidR="00EE4EAF" w:rsidRPr="00EE4EAF">
              <w:t xml:space="preserve">IC.1, </w:t>
            </w:r>
            <w:r w:rsidRPr="00EE4EAF">
              <w:t>I</w:t>
            </w:r>
            <w:r w:rsidR="00EE4EAF" w:rsidRPr="00EE4EAF">
              <w:t>C</w:t>
            </w:r>
            <w:r w:rsidRPr="00EE4EAF">
              <w:t>.</w:t>
            </w:r>
            <w:r w:rsidR="00EE4EAF" w:rsidRPr="00EE4EAF">
              <w:t>2</w:t>
            </w:r>
            <w:r w:rsidRPr="00EE4EAF">
              <w:t>)</w:t>
            </w:r>
          </w:p>
        </w:tc>
      </w:tr>
      <w:tr w:rsidR="00EF407A" w14:paraId="2CB221AF" w14:textId="77777777" w:rsidTr="00EE4EAF">
        <w:tc>
          <w:tcPr>
            <w:tcW w:w="8990" w:type="dxa"/>
          </w:tcPr>
          <w:p w14:paraId="70B743B3" w14:textId="77777777" w:rsidR="00EF407A" w:rsidRDefault="00EF407A" w:rsidP="005B0C71">
            <w:pPr>
              <w:pStyle w:val="TableStyle"/>
              <w:tabs>
                <w:tab w:val="left" w:pos="3080"/>
              </w:tabs>
              <w:jc w:val="left"/>
            </w:pPr>
            <w:r>
              <w:lastRenderedPageBreak/>
              <w:t>The institution provides required information concerning its accredited status as described above in the section on Student Complaints.</w:t>
            </w:r>
          </w:p>
          <w:p w14:paraId="4DF978D2" w14:textId="77777777" w:rsidR="00EE4EAF" w:rsidRDefault="00EE4EAF" w:rsidP="005B0C71">
            <w:pPr>
              <w:pStyle w:val="TableStyle"/>
              <w:tabs>
                <w:tab w:val="left" w:pos="3080"/>
              </w:tabs>
              <w:jc w:val="left"/>
            </w:pPr>
          </w:p>
          <w:p w14:paraId="2A417855" w14:textId="67DD02FE" w:rsidR="00EF407A" w:rsidRPr="00B2112C" w:rsidRDefault="00EE4EAF" w:rsidP="005B0C71">
            <w:pPr>
              <w:pStyle w:val="TableStyle"/>
              <w:tabs>
                <w:tab w:val="left" w:pos="3080"/>
              </w:tabs>
              <w:jc w:val="left"/>
              <w:rPr>
                <w:rFonts w:ascii="Times New Roman" w:hAnsi="Times New Roman" w:cs="Times New Roman"/>
              </w:rPr>
            </w:pPr>
            <w:r w:rsidRPr="00EE4EAF">
              <w:rPr>
                <w:rFonts w:ascii="Times New Roman" w:hAnsi="Times New Roman" w:cs="Times New Roman"/>
              </w:rPr>
              <w:t>See the Section on the Commission Policy regar</w:t>
            </w:r>
            <w:r w:rsidR="00B2112C">
              <w:rPr>
                <w:rFonts w:ascii="Times New Roman" w:hAnsi="Times New Roman" w:cs="Times New Roman"/>
              </w:rPr>
              <w:t>ding Student Complaints, above.</w:t>
            </w:r>
          </w:p>
        </w:tc>
      </w:tr>
    </w:tbl>
    <w:p w14:paraId="45092066" w14:textId="24A67204" w:rsidR="00805F50" w:rsidRDefault="00805F50" w:rsidP="00805F50">
      <w:pPr>
        <w:pStyle w:val="Heading3"/>
      </w:pPr>
      <w:r>
        <w:t>Policy on Contractual Relationships with Non-Regionally Accredited Organizations</w:t>
      </w:r>
    </w:p>
    <w:p w14:paraId="2070D9FF" w14:textId="46A8A0D6" w:rsidR="00805F50" w:rsidRDefault="00623A87" w:rsidP="00805F50">
      <w:pPr>
        <w:pStyle w:val="Normalwithspacebetween"/>
      </w:pPr>
      <w:r w:rsidRPr="000B4A2F">
        <w:t>The College does not currently have any Contractual Relationships with Non-Regionally Accredited Organizations</w:t>
      </w:r>
      <w:r>
        <w:t>.</w:t>
      </w:r>
    </w:p>
    <w:p w14:paraId="4442F371" w14:textId="07855FF3" w:rsidR="0068461F" w:rsidRDefault="0068461F" w:rsidP="00271C37">
      <w:pPr>
        <w:pStyle w:val="Heading3"/>
        <w:keepLines/>
      </w:pPr>
      <w:r>
        <w:t>Policy on Institutional Compliance with Title IV</w:t>
      </w:r>
    </w:p>
    <w:p w14:paraId="5D5552E6" w14:textId="345361C0" w:rsidR="00481155" w:rsidRDefault="00481155" w:rsidP="00481155">
      <w:pPr>
        <w:pStyle w:val="Normalwithspacebetween"/>
      </w:pPr>
      <w:r>
        <w:t>Santa Monica College’s Office of Financial Aid employs rigorous methods to keep loan default rates at an acceptably low level and also complies with program responsibilities defined by the U.S. Department of Education.  Programs funded by the federal government include the Pell Grant, SEOG Grant, Federal Work Study, Direct Subsidized Stafford Loan, Direct Unsubsidized Stafford Loan, and Direct Parent Loan programs.</w:t>
      </w:r>
    </w:p>
    <w:tbl>
      <w:tblPr>
        <w:tblStyle w:val="TableGrid"/>
        <w:tblW w:w="0" w:type="auto"/>
        <w:tblLook w:val="04A0" w:firstRow="1" w:lastRow="0" w:firstColumn="1" w:lastColumn="0" w:noHBand="0" w:noVBand="1"/>
      </w:tblPr>
      <w:tblGrid>
        <w:gridCol w:w="8990"/>
      </w:tblGrid>
      <w:tr w:rsidR="00112872" w14:paraId="5C349B5E" w14:textId="77777777" w:rsidTr="009D7D09">
        <w:tc>
          <w:tcPr>
            <w:tcW w:w="8990" w:type="dxa"/>
            <w:vAlign w:val="center"/>
          </w:tcPr>
          <w:p w14:paraId="0205332A" w14:textId="77777777" w:rsidR="00112872" w:rsidRPr="00112872" w:rsidRDefault="00112872" w:rsidP="00355ABC">
            <w:pPr>
              <w:pStyle w:val="TableStyle"/>
              <w:keepNext/>
              <w:tabs>
                <w:tab w:val="left" w:pos="3080"/>
              </w:tabs>
              <w:rPr>
                <w:b/>
              </w:rPr>
            </w:pPr>
            <w:r w:rsidRPr="00112872">
              <w:rPr>
                <w:b/>
              </w:rPr>
              <w:t>Title IV Compliance</w:t>
            </w:r>
          </w:p>
          <w:p w14:paraId="404618DD" w14:textId="695EE399" w:rsidR="00112872" w:rsidRDefault="00112872" w:rsidP="00355ABC">
            <w:pPr>
              <w:pStyle w:val="TableStyle"/>
              <w:keepNext/>
              <w:tabs>
                <w:tab w:val="left" w:pos="3080"/>
              </w:tabs>
            </w:pPr>
            <w:r>
              <w:t>Regulation citations: 602.16(a)(1)(v); 602.16(a)(1)(x); 602.19(b); 668.5; 668.15; 668.16; 668.71 et seq.</w:t>
            </w:r>
          </w:p>
        </w:tc>
      </w:tr>
      <w:tr w:rsidR="0068461F" w14:paraId="6A941D8B" w14:textId="77777777" w:rsidTr="009D7D09">
        <w:tc>
          <w:tcPr>
            <w:tcW w:w="8990" w:type="dxa"/>
          </w:tcPr>
          <w:p w14:paraId="38A3AD5F" w14:textId="77777777" w:rsidR="0068461F" w:rsidRDefault="0068461F" w:rsidP="005B0C71">
            <w:pPr>
              <w:pStyle w:val="TableStyle"/>
              <w:tabs>
                <w:tab w:val="left" w:pos="3080"/>
              </w:tabs>
              <w:jc w:val="left"/>
            </w:pPr>
            <w:r>
              <w:t>The institution has presented evidence on the required components of the Title IV Program, including findings from any audits and program or other review activities by the USDE.</w:t>
            </w:r>
          </w:p>
          <w:p w14:paraId="166C2ADD" w14:textId="77777777" w:rsidR="0068461F" w:rsidRPr="00641A2C" w:rsidRDefault="0068461F" w:rsidP="002B6FD1">
            <w:pPr>
              <w:pStyle w:val="Normalwithspacebetween"/>
            </w:pPr>
            <w:r w:rsidRPr="00641A2C">
              <w:t xml:space="preserve">Santa Monica College maintains compliance with Title IV of the Higher Education Act through comprehensive financial aid services to students, including first time borrowers. All students pursuing a direct loan are required to complete a Direct Loan Master Promissory Note (MPN) and Entrance Counseling for each year the student is approved for a loan at the College. </w:t>
            </w:r>
            <w:r w:rsidRPr="00641A2C">
              <w:rPr>
                <w:rStyle w:val="ms-rtefontsize-21"/>
                <w:color w:val="000000"/>
                <w:sz w:val="22"/>
                <w:szCs w:val="22"/>
              </w:rPr>
              <w:t>The goal of Entrance Counseling is to help the student understand what it means to take out a federal student loan</w:t>
            </w:r>
            <w:r w:rsidRPr="00641A2C">
              <w:rPr>
                <w:rStyle w:val="Emphasis"/>
                <w:color w:val="000000"/>
              </w:rPr>
              <w:t>.</w:t>
            </w:r>
            <w:r w:rsidRPr="00641A2C">
              <w:t xml:space="preserve"> The policies and processes are regularly updated as needed to remain current and compliant with Title IV and State Student Eligibility Requirements and Policies.</w:t>
            </w:r>
          </w:p>
          <w:p w14:paraId="022BEF9D" w14:textId="309E8328" w:rsidR="0068461F" w:rsidRDefault="00271C37" w:rsidP="00271C37">
            <w:pPr>
              <w:pStyle w:val="TableStyle"/>
              <w:tabs>
                <w:tab w:val="left" w:pos="3080"/>
              </w:tabs>
              <w:jc w:val="left"/>
            </w:pPr>
            <w:r>
              <w:t xml:space="preserve">(See ER 5 and Standard </w:t>
            </w:r>
            <w:r w:rsidR="0068461F">
              <w:t>IIID.7)</w:t>
            </w:r>
          </w:p>
        </w:tc>
      </w:tr>
      <w:tr w:rsidR="0068461F" w14:paraId="2E62C783" w14:textId="77777777" w:rsidTr="009D7D09">
        <w:tc>
          <w:tcPr>
            <w:tcW w:w="8990" w:type="dxa"/>
          </w:tcPr>
          <w:p w14:paraId="1AA7F661" w14:textId="6765BCCE" w:rsidR="0068461F" w:rsidRDefault="0068461F" w:rsidP="005B0C71">
            <w:pPr>
              <w:pStyle w:val="TableStyle"/>
              <w:tabs>
                <w:tab w:val="left" w:pos="3080"/>
              </w:tabs>
              <w:jc w:val="left"/>
            </w:pPr>
            <w:r>
              <w:lastRenderedPageBreak/>
              <w:t>The institution has addressed any issues raised by the USDE as to financial responsibility requirements, program record-keeping, etc. If issues were not timely addressed, the institution demonstrates it has the fiscal and administrative capacity to timely address issues in the future and to retain compliance with</w:t>
            </w:r>
            <w:r w:rsidR="00805F50">
              <w:t xml:space="preserve"> Title IV program requirements.</w:t>
            </w:r>
          </w:p>
          <w:p w14:paraId="0A242AF9" w14:textId="5BA66525" w:rsidR="00805F50" w:rsidRPr="00355ABC" w:rsidRDefault="00B2112C" w:rsidP="00805F50">
            <w:pPr>
              <w:pStyle w:val="Normalwithspacebetween"/>
            </w:pPr>
            <w:r w:rsidRPr="00355ABC">
              <w:t xml:space="preserve">The College’s financial aid program is evaluated on an annual basis as part of the College’s independent audit process which includes an assessment of the College’s compliance with federal Title IV regulations and requirements.   The College submits the results of its annual </w:t>
            </w:r>
            <w:hyperlink r:id="rId113" w:history="1">
              <w:r w:rsidRPr="00355ABC">
                <w:rPr>
                  <w:rStyle w:val="Hyperlink"/>
                </w:rPr>
                <w:t>Federal Single Audit</w:t>
              </w:r>
            </w:hyperlink>
            <w:r w:rsidRPr="00355ABC">
              <w:rPr>
                <w:rStyle w:val="EndnoteReference"/>
              </w:rPr>
              <w:endnoteReference w:id="58"/>
            </w:r>
            <w:r w:rsidRPr="00355ABC">
              <w:t xml:space="preserve"> to the U</w:t>
            </w:r>
            <w:r w:rsidR="00355ABC" w:rsidRPr="00355ABC">
              <w:t>SDE</w:t>
            </w:r>
            <w:r w:rsidRPr="00355ABC">
              <w:t xml:space="preserve"> each year.  During this accreditation cycle, the College has had </w:t>
            </w:r>
            <w:r w:rsidRPr="00355ABC">
              <w:rPr>
                <w:color w:val="000000"/>
              </w:rPr>
              <w:t>no findings in the audit of the financial aid program</w:t>
            </w:r>
            <w:r w:rsidR="00355ABC" w:rsidRPr="00355ABC">
              <w:rPr>
                <w:color w:val="000000"/>
              </w:rPr>
              <w:t>.</w:t>
            </w:r>
          </w:p>
          <w:p w14:paraId="3768110C" w14:textId="30EB7CED" w:rsidR="0068461F" w:rsidRDefault="0068461F" w:rsidP="00B2112C">
            <w:pPr>
              <w:pStyle w:val="TableStyle"/>
              <w:tabs>
                <w:tab w:val="left" w:pos="3080"/>
              </w:tabs>
              <w:jc w:val="left"/>
            </w:pPr>
            <w:r>
              <w:rPr>
                <w:rFonts w:cs="Times New Roman"/>
              </w:rPr>
              <w:t>(</w:t>
            </w:r>
            <w:r w:rsidRPr="00271C37">
              <w:rPr>
                <w:rFonts w:cs="Times New Roman"/>
              </w:rPr>
              <w:t xml:space="preserve">See Standard </w:t>
            </w:r>
            <w:r w:rsidR="00271C37">
              <w:rPr>
                <w:rFonts w:cs="Times New Roman"/>
              </w:rPr>
              <w:t>II</w:t>
            </w:r>
            <w:r w:rsidR="00B2112C">
              <w:rPr>
                <w:rFonts w:cs="Times New Roman"/>
              </w:rPr>
              <w:t>ID.</w:t>
            </w:r>
            <w:r w:rsidR="00271C37">
              <w:rPr>
                <w:rFonts w:cs="Times New Roman"/>
              </w:rPr>
              <w:t>1</w:t>
            </w:r>
            <w:r w:rsidR="00355ABC">
              <w:rPr>
                <w:rFonts w:cs="Times New Roman"/>
              </w:rPr>
              <w:t>0</w:t>
            </w:r>
            <w:r w:rsidRPr="00271C37">
              <w:rPr>
                <w:rFonts w:cs="Times New Roman"/>
              </w:rPr>
              <w:t>)</w:t>
            </w:r>
          </w:p>
        </w:tc>
      </w:tr>
      <w:tr w:rsidR="0068461F" w14:paraId="434C29D1" w14:textId="77777777" w:rsidTr="009D7D09">
        <w:tc>
          <w:tcPr>
            <w:tcW w:w="8990" w:type="dxa"/>
          </w:tcPr>
          <w:p w14:paraId="590B4B06" w14:textId="74533D19" w:rsidR="0068461F" w:rsidRDefault="0068461F" w:rsidP="005B0C71">
            <w:pPr>
              <w:pStyle w:val="TableStyle"/>
              <w:tabs>
                <w:tab w:val="left" w:pos="3080"/>
              </w:tabs>
              <w:jc w:val="left"/>
            </w:pPr>
            <w:r>
              <w:t>The institution’s student loan default rates are within the acceptable range defined by the USDE. Remedial efforts have been undertaken when default rates near or meet a level outside the acceptable range.</w:t>
            </w:r>
          </w:p>
          <w:p w14:paraId="659071D0" w14:textId="0EA4FEC8" w:rsidR="0068461F" w:rsidRDefault="0068461F" w:rsidP="00355ABC">
            <w:pPr>
              <w:pStyle w:val="Normalwithspacebetween"/>
              <w:spacing w:after="0"/>
            </w:pPr>
            <w:r>
              <w:t>The College</w:t>
            </w:r>
            <w:r w:rsidRPr="00641A2C">
              <w:t xml:space="preserve"> has maintained loan default rates at an acceptable level while complying with the responsibilities defined by the U.S. Department of Education. </w:t>
            </w:r>
            <w:r>
              <w:t>The College’s three-year default rate on student loans in Fiscal Year 2012 was 10.5%, which is below the requirement established by California (&lt;15.5%) as well as the federal requirement (&lt;30%).  The College</w:t>
            </w:r>
            <w:r w:rsidRPr="00641A2C">
              <w:t xml:space="preserve"> has not had any actions taken against it due to compliance with Title IV</w:t>
            </w:r>
            <w:r>
              <w:t xml:space="preserve"> and as such, remains a low risk auditee</w:t>
            </w:r>
            <w:r w:rsidRPr="00641A2C">
              <w:t>. For the four most recent years for which data are available, the student loan default rates were as follows:</w:t>
            </w:r>
            <w:r w:rsidR="00355ABC">
              <w:t xml:space="preserve"> </w:t>
            </w:r>
            <w:r>
              <w:t>2009</w:t>
            </w:r>
            <w:r w:rsidR="00355ABC">
              <w:t xml:space="preserve">: </w:t>
            </w:r>
            <w:r>
              <w:t>6.3%</w:t>
            </w:r>
            <w:r w:rsidR="00355ABC">
              <w:t xml:space="preserve">; </w:t>
            </w:r>
            <w:r>
              <w:t>2010</w:t>
            </w:r>
            <w:r w:rsidR="00355ABC">
              <w:t xml:space="preserve">: </w:t>
            </w:r>
            <w:r>
              <w:t>17.1%</w:t>
            </w:r>
            <w:r w:rsidR="00355ABC">
              <w:t xml:space="preserve">; </w:t>
            </w:r>
            <w:r>
              <w:t>2011</w:t>
            </w:r>
            <w:r w:rsidR="00355ABC">
              <w:t xml:space="preserve">: </w:t>
            </w:r>
            <w:r>
              <w:t>10.8%</w:t>
            </w:r>
            <w:r w:rsidR="00355ABC">
              <w:t xml:space="preserve">; </w:t>
            </w:r>
            <w:r>
              <w:t>2012</w:t>
            </w:r>
            <w:r w:rsidR="00355ABC">
              <w:t>: 1</w:t>
            </w:r>
            <w:r w:rsidR="0058535E">
              <w:t>0.5%</w:t>
            </w:r>
            <w:r w:rsidR="00355ABC">
              <w:t>.</w:t>
            </w:r>
          </w:p>
          <w:p w14:paraId="1326DCB6" w14:textId="77777777" w:rsidR="0068461F" w:rsidRDefault="0068461F" w:rsidP="007F1FAD">
            <w:pPr>
              <w:pStyle w:val="ListParagraph"/>
            </w:pPr>
          </w:p>
          <w:p w14:paraId="7FD902C5" w14:textId="01F445D0" w:rsidR="0068461F" w:rsidRDefault="0068461F" w:rsidP="005B0C71">
            <w:pPr>
              <w:pStyle w:val="TableStyle"/>
              <w:tabs>
                <w:tab w:val="left" w:pos="3080"/>
              </w:tabs>
              <w:jc w:val="left"/>
            </w:pPr>
            <w:r>
              <w:t>(See ER 5 and Standards IIID.8, IIID.15)</w:t>
            </w:r>
          </w:p>
        </w:tc>
      </w:tr>
      <w:tr w:rsidR="00805F50" w14:paraId="36E4C589" w14:textId="77777777" w:rsidTr="009D7D09">
        <w:tc>
          <w:tcPr>
            <w:tcW w:w="8990" w:type="dxa"/>
          </w:tcPr>
          <w:p w14:paraId="112FF5C1" w14:textId="69C38CED" w:rsidR="00805F50" w:rsidRDefault="00805F50" w:rsidP="005B0C71">
            <w:pPr>
              <w:pStyle w:val="TableStyle"/>
              <w:tabs>
                <w:tab w:val="left" w:pos="3080"/>
              </w:tabs>
              <w:jc w:val="left"/>
            </w:pPr>
            <w:r>
              <w:t>Contractual relationships of the institution to offer or receive educational, library, and support services meet the Accreditation Standards and have been approved by the Commission through substantive change if required.</w:t>
            </w:r>
          </w:p>
          <w:p w14:paraId="07126BA5" w14:textId="4F9CAF44" w:rsidR="00805F50" w:rsidRDefault="00805F50" w:rsidP="00355ABC">
            <w:pPr>
              <w:pStyle w:val="Normalwithspacebetween"/>
            </w:pPr>
            <w:r w:rsidRPr="00EF407A">
              <w:t>Santa Monica College’s contractual relationships to offer and receive educational, library, and support services are appropriate for an institution of higher education</w:t>
            </w:r>
            <w:r w:rsidR="000B4A2F" w:rsidRPr="00EF407A">
              <w:t xml:space="preserve"> and meet the Accreditation Standards</w:t>
            </w:r>
            <w:r w:rsidRPr="00EF407A">
              <w:t xml:space="preserve">.  The College has made arrangements through contracts, agreements, and Memoranda of Understanding (MOUs) with external organizations to offer and receive services.  </w:t>
            </w:r>
          </w:p>
          <w:p w14:paraId="24D3E608" w14:textId="77777777" w:rsidR="00AA70C2" w:rsidRPr="00AA70C2" w:rsidRDefault="00AA70C2" w:rsidP="00355ABC">
            <w:pPr>
              <w:pStyle w:val="Normalwithspacebetween"/>
            </w:pPr>
            <w:r w:rsidRPr="00E90E76">
              <w:t>Santa Monica College's contractual agreements with external entities, including construction contracts</w:t>
            </w:r>
            <w:r w:rsidRPr="00AA70C2">
              <w:t>, consultant contracts/professional services agreements, service contracts, lease purchase agreements, and grant contracts, are consistent with the College's Mission, goals, initiatives, and objectives.  The College has clearly delineated policies and procedures to monitor the development and implementation of these contracts and maintain the integrity of the institution and the quality of its programs, services, and operations.  These policies integrate California Education Code regarding the management of contractual agreements as appropriate and relevant:</w:t>
            </w:r>
          </w:p>
          <w:p w14:paraId="702C8936" w14:textId="605236F1" w:rsidR="00AA70C2" w:rsidRPr="00AA70C2" w:rsidRDefault="00DC7C37" w:rsidP="00AA70C2">
            <w:pPr>
              <w:pStyle w:val="PlainText"/>
              <w:numPr>
                <w:ilvl w:val="0"/>
                <w:numId w:val="20"/>
              </w:numPr>
              <w:rPr>
                <w:rFonts w:ascii="Times New Roman" w:hAnsi="Times New Roman"/>
                <w:szCs w:val="24"/>
              </w:rPr>
            </w:pPr>
            <w:hyperlink r:id="rId114" w:history="1">
              <w:r w:rsidR="00AA70C2" w:rsidRPr="009437F0">
                <w:rPr>
                  <w:rStyle w:val="Hyperlink"/>
                  <w:rFonts w:ascii="Times New Roman" w:hAnsi="Times New Roman"/>
                  <w:szCs w:val="24"/>
                </w:rPr>
                <w:t>Board Policy 6250</w:t>
              </w:r>
            </w:hyperlink>
            <w:r w:rsidR="00AA70C2" w:rsidRPr="00AA70C2">
              <w:rPr>
                <w:rFonts w:ascii="Times New Roman" w:hAnsi="Times New Roman"/>
                <w:szCs w:val="24"/>
              </w:rPr>
              <w:t>, Contracts for Materials and Services</w:t>
            </w:r>
            <w:r w:rsidR="009437F0">
              <w:rPr>
                <w:rStyle w:val="EndnoteReference"/>
                <w:rFonts w:ascii="Times New Roman" w:hAnsi="Times New Roman"/>
                <w:szCs w:val="24"/>
              </w:rPr>
              <w:endnoteReference w:id="59"/>
            </w:r>
          </w:p>
          <w:p w14:paraId="7798C151" w14:textId="61A89912" w:rsidR="00AA70C2" w:rsidRPr="00AA70C2" w:rsidRDefault="00DC7C37" w:rsidP="00AA70C2">
            <w:pPr>
              <w:pStyle w:val="PlainText"/>
              <w:numPr>
                <w:ilvl w:val="0"/>
                <w:numId w:val="20"/>
              </w:numPr>
              <w:rPr>
                <w:rFonts w:ascii="Times New Roman" w:hAnsi="Times New Roman"/>
                <w:szCs w:val="24"/>
              </w:rPr>
            </w:pPr>
            <w:hyperlink r:id="rId115" w:history="1">
              <w:r w:rsidR="00AA70C2" w:rsidRPr="009437F0">
                <w:rPr>
                  <w:rStyle w:val="Hyperlink"/>
                  <w:rFonts w:ascii="Times New Roman" w:hAnsi="Times New Roman"/>
                  <w:szCs w:val="24"/>
                </w:rPr>
                <w:t>Board Policy 6255</w:t>
              </w:r>
            </w:hyperlink>
            <w:r w:rsidR="00AA70C2" w:rsidRPr="00AA70C2">
              <w:rPr>
                <w:rFonts w:ascii="Times New Roman" w:hAnsi="Times New Roman"/>
                <w:szCs w:val="24"/>
              </w:rPr>
              <w:t>, Delegation to Enter Into and Amend Contracts</w:t>
            </w:r>
            <w:r w:rsidR="009437F0">
              <w:rPr>
                <w:rStyle w:val="EndnoteReference"/>
                <w:rFonts w:ascii="Times New Roman" w:hAnsi="Times New Roman"/>
                <w:szCs w:val="24"/>
              </w:rPr>
              <w:endnoteReference w:id="60"/>
            </w:r>
          </w:p>
          <w:p w14:paraId="3A3D456D" w14:textId="0CFAEB1C" w:rsidR="00AA70C2" w:rsidRPr="00AA70C2" w:rsidRDefault="00DC7C37" w:rsidP="00AA70C2">
            <w:pPr>
              <w:pStyle w:val="PlainText"/>
              <w:numPr>
                <w:ilvl w:val="0"/>
                <w:numId w:val="20"/>
              </w:numPr>
              <w:rPr>
                <w:rFonts w:ascii="Times New Roman" w:hAnsi="Times New Roman"/>
                <w:szCs w:val="24"/>
              </w:rPr>
            </w:pPr>
            <w:hyperlink r:id="rId116" w:history="1">
              <w:r w:rsidR="00AA70C2" w:rsidRPr="009437F0">
                <w:rPr>
                  <w:rStyle w:val="Hyperlink"/>
                  <w:rFonts w:ascii="Times New Roman" w:hAnsi="Times New Roman"/>
                  <w:szCs w:val="24"/>
                </w:rPr>
                <w:t>Board Policy 2115</w:t>
              </w:r>
            </w:hyperlink>
            <w:r w:rsidR="00AA70C2" w:rsidRPr="00AA70C2">
              <w:rPr>
                <w:rFonts w:ascii="Times New Roman" w:hAnsi="Times New Roman"/>
                <w:szCs w:val="24"/>
              </w:rPr>
              <w:t>, Institutional Accountability</w:t>
            </w:r>
            <w:r w:rsidR="009437F0">
              <w:rPr>
                <w:rStyle w:val="EndnoteReference"/>
                <w:rFonts w:ascii="Times New Roman" w:hAnsi="Times New Roman"/>
                <w:szCs w:val="24"/>
              </w:rPr>
              <w:endnoteReference w:id="61"/>
            </w:r>
          </w:p>
          <w:p w14:paraId="375F8128" w14:textId="77777777" w:rsidR="00AA70C2" w:rsidRPr="00AA70C2" w:rsidRDefault="00AA70C2" w:rsidP="00355ABC">
            <w:pPr>
              <w:pStyle w:val="Normalwithspacebetween"/>
            </w:pPr>
            <w:r w:rsidRPr="00AA70C2">
              <w:t>These board policies outline the College's bidding policies, expenditure limits, lines of authority, signatory responsibilities, and other institutional practices.  In addition, Business Services has established operating procedures that further delineate board policy and guide the management of the College's contractual agreements.  Highlights of these procedures include the following:</w:t>
            </w:r>
          </w:p>
          <w:p w14:paraId="65EABD9C" w14:textId="77777777" w:rsidR="00AA70C2" w:rsidRPr="00AA70C2" w:rsidRDefault="00AA70C2" w:rsidP="00AA70C2">
            <w:pPr>
              <w:pStyle w:val="PlainText"/>
              <w:numPr>
                <w:ilvl w:val="0"/>
                <w:numId w:val="22"/>
              </w:numPr>
              <w:rPr>
                <w:rFonts w:ascii="Times New Roman" w:hAnsi="Times New Roman"/>
                <w:szCs w:val="24"/>
              </w:rPr>
            </w:pPr>
            <w:r w:rsidRPr="00AA70C2">
              <w:rPr>
                <w:rFonts w:ascii="Times New Roman" w:hAnsi="Times New Roman"/>
                <w:szCs w:val="24"/>
              </w:rPr>
              <w:t xml:space="preserve">All proposed contracts, including sub-award/sub-contractual agreements entered into by the College as a result of grant awards, are reviewed and approved by the vice president of the division in which the project is housed prior to submission to the Purchasing Department. </w:t>
            </w:r>
          </w:p>
          <w:p w14:paraId="797900F4" w14:textId="20B2712B" w:rsidR="00AA70C2" w:rsidRPr="00AA70C2" w:rsidRDefault="00AA70C2" w:rsidP="00AA70C2">
            <w:pPr>
              <w:pStyle w:val="PlainText"/>
              <w:numPr>
                <w:ilvl w:val="0"/>
                <w:numId w:val="21"/>
              </w:numPr>
              <w:rPr>
                <w:rFonts w:ascii="Times New Roman" w:hAnsi="Times New Roman"/>
                <w:szCs w:val="24"/>
              </w:rPr>
            </w:pPr>
            <w:r w:rsidRPr="00AA70C2">
              <w:rPr>
                <w:rFonts w:ascii="Times New Roman" w:hAnsi="Times New Roman"/>
                <w:szCs w:val="24"/>
              </w:rPr>
              <w:t>The College has identified key positions that have the authority to approve the College’s participation in contracts, grant awards, and purchase agreements and bind the College to contractual obligations;</w:t>
            </w:r>
          </w:p>
          <w:p w14:paraId="32269770" w14:textId="503A8DD5" w:rsidR="00AA70C2" w:rsidRPr="00AA70C2" w:rsidRDefault="00AA70C2" w:rsidP="00AA70C2">
            <w:pPr>
              <w:pStyle w:val="PlainText"/>
              <w:numPr>
                <w:ilvl w:val="0"/>
                <w:numId w:val="21"/>
              </w:numPr>
              <w:rPr>
                <w:rFonts w:ascii="Times New Roman" w:hAnsi="Times New Roman"/>
                <w:szCs w:val="24"/>
              </w:rPr>
            </w:pPr>
            <w:r w:rsidRPr="00AA70C2">
              <w:rPr>
                <w:rFonts w:ascii="Times New Roman" w:hAnsi="Times New Roman"/>
                <w:szCs w:val="24"/>
              </w:rPr>
              <w:t>All of the College's contracting entities must also abide by the conflict of interest policy;</w:t>
            </w:r>
          </w:p>
          <w:p w14:paraId="0D8C74D7" w14:textId="668BF8BA" w:rsidR="00AA70C2" w:rsidRPr="00AA70C2" w:rsidRDefault="00AA70C2" w:rsidP="00AA70C2">
            <w:pPr>
              <w:pStyle w:val="PlainText"/>
              <w:numPr>
                <w:ilvl w:val="0"/>
                <w:numId w:val="21"/>
              </w:numPr>
              <w:rPr>
                <w:rFonts w:ascii="Times New Roman" w:hAnsi="Times New Roman"/>
                <w:szCs w:val="24"/>
              </w:rPr>
            </w:pPr>
            <w:r w:rsidRPr="00AA70C2">
              <w:rPr>
                <w:rFonts w:ascii="Times New Roman" w:hAnsi="Times New Roman"/>
                <w:szCs w:val="24"/>
              </w:rPr>
              <w:t xml:space="preserve">The Board of Trustees approves all contracts in open forum </w:t>
            </w:r>
            <w:r w:rsidR="003F2E84">
              <w:rPr>
                <w:rFonts w:ascii="Times New Roman" w:hAnsi="Times New Roman"/>
                <w:szCs w:val="24"/>
              </w:rPr>
              <w:t>(c</w:t>
            </w:r>
            <w:r w:rsidRPr="00AA70C2">
              <w:rPr>
                <w:rFonts w:ascii="Times New Roman" w:hAnsi="Times New Roman"/>
                <w:szCs w:val="24"/>
              </w:rPr>
              <w:t>ontract</w:t>
            </w:r>
            <w:r w:rsidR="003F2E84">
              <w:rPr>
                <w:rFonts w:ascii="Times New Roman" w:hAnsi="Times New Roman"/>
                <w:szCs w:val="24"/>
              </w:rPr>
              <w:t>s are</w:t>
            </w:r>
            <w:r w:rsidRPr="00AA70C2">
              <w:rPr>
                <w:rFonts w:ascii="Times New Roman" w:hAnsi="Times New Roman"/>
                <w:szCs w:val="24"/>
              </w:rPr>
              <w:t xml:space="preserve"> included </w:t>
            </w:r>
            <w:r w:rsidR="003F2E84">
              <w:rPr>
                <w:rFonts w:ascii="Times New Roman" w:hAnsi="Times New Roman"/>
                <w:szCs w:val="24"/>
              </w:rPr>
              <w:t xml:space="preserve">on </w:t>
            </w:r>
            <w:r w:rsidRPr="00AA70C2">
              <w:rPr>
                <w:rFonts w:ascii="Times New Roman" w:hAnsi="Times New Roman"/>
                <w:szCs w:val="24"/>
              </w:rPr>
              <w:t>the Board agenda</w:t>
            </w:r>
            <w:r w:rsidR="003F2E84">
              <w:rPr>
                <w:rFonts w:ascii="Times New Roman" w:hAnsi="Times New Roman"/>
                <w:szCs w:val="24"/>
              </w:rPr>
              <w:t>)</w:t>
            </w:r>
            <w:r w:rsidRPr="00AA70C2">
              <w:rPr>
                <w:rFonts w:ascii="Times New Roman" w:hAnsi="Times New Roman"/>
                <w:szCs w:val="24"/>
              </w:rPr>
              <w:t>; and</w:t>
            </w:r>
          </w:p>
          <w:p w14:paraId="606B04B7" w14:textId="6E91CE0A" w:rsidR="00AA70C2" w:rsidRPr="00AA70C2" w:rsidRDefault="00AA70C2" w:rsidP="00AA70C2">
            <w:pPr>
              <w:pStyle w:val="PlainText"/>
              <w:numPr>
                <w:ilvl w:val="0"/>
                <w:numId w:val="21"/>
              </w:numPr>
              <w:rPr>
                <w:rFonts w:ascii="Times New Roman" w:hAnsi="Times New Roman"/>
                <w:szCs w:val="24"/>
              </w:rPr>
            </w:pPr>
            <w:r w:rsidRPr="00AA70C2">
              <w:rPr>
                <w:rFonts w:ascii="Times New Roman" w:hAnsi="Times New Roman"/>
                <w:szCs w:val="24"/>
              </w:rPr>
              <w:t>Accounts Payable will not process and pay a contractual invoice without an approved Purchase Order generated by the Purchasing Office.</w:t>
            </w:r>
          </w:p>
          <w:p w14:paraId="04A0CB8F" w14:textId="77777777" w:rsidR="00AA70C2" w:rsidRPr="00E90E76" w:rsidRDefault="00AA70C2" w:rsidP="00AA70C2">
            <w:pPr>
              <w:pStyle w:val="PlainText"/>
              <w:rPr>
                <w:rFonts w:ascii="Times New Roman" w:hAnsi="Times New Roman"/>
                <w:szCs w:val="24"/>
              </w:rPr>
            </w:pPr>
          </w:p>
          <w:p w14:paraId="02DEC2D3" w14:textId="7DF7D718" w:rsidR="00805F50" w:rsidRPr="00B2112C" w:rsidRDefault="00C75B72" w:rsidP="005B0C71">
            <w:pPr>
              <w:pStyle w:val="TableStyle"/>
              <w:tabs>
                <w:tab w:val="left" w:pos="3080"/>
              </w:tabs>
              <w:jc w:val="left"/>
              <w:rPr>
                <w:rFonts w:cs="Times New Roman"/>
                <w:szCs w:val="24"/>
              </w:rPr>
            </w:pPr>
            <w:r w:rsidRPr="00EF407A">
              <w:rPr>
                <w:rFonts w:cs="Times New Roman"/>
                <w:szCs w:val="24"/>
              </w:rPr>
              <w:t>(See Standard IIA.16, IIB.1</w:t>
            </w:r>
            <w:r w:rsidR="00AA70C2">
              <w:rPr>
                <w:rFonts w:cs="Times New Roman"/>
                <w:szCs w:val="24"/>
              </w:rPr>
              <w:t>, IIID.15, IIID.16</w:t>
            </w:r>
            <w:r w:rsidR="00B2112C">
              <w:rPr>
                <w:rFonts w:cs="Times New Roman"/>
                <w:szCs w:val="24"/>
              </w:rPr>
              <w:t>)</w:t>
            </w:r>
          </w:p>
        </w:tc>
      </w:tr>
      <w:tr w:rsidR="00805F50" w14:paraId="67982640" w14:textId="77777777" w:rsidTr="009D7D09">
        <w:tc>
          <w:tcPr>
            <w:tcW w:w="8990" w:type="dxa"/>
          </w:tcPr>
          <w:p w14:paraId="61D706E2" w14:textId="63B3CC1F" w:rsidR="00805F50" w:rsidRDefault="00805F50" w:rsidP="005B0C71">
            <w:pPr>
              <w:pStyle w:val="TableStyle"/>
              <w:tabs>
                <w:tab w:val="left" w:pos="3080"/>
              </w:tabs>
              <w:jc w:val="left"/>
            </w:pPr>
            <w:r>
              <w:lastRenderedPageBreak/>
              <w:t>The institution demonstrates compliance with the Commission Policy on Contractual Relationships with Non-Regionally Accredited Organizations and the Policy on Institut</w:t>
            </w:r>
            <w:r w:rsidR="000B4A2F">
              <w:t>ional Compliance with Title IV.</w:t>
            </w:r>
          </w:p>
          <w:p w14:paraId="23073C11" w14:textId="2803AFF4" w:rsidR="000B4A2F" w:rsidRDefault="000B4A2F" w:rsidP="00B2112C">
            <w:pPr>
              <w:pStyle w:val="Normalwithspacebetween"/>
            </w:pPr>
            <w:r w:rsidRPr="000B4A2F">
              <w:t>As described in the narratives under both Policies, Santa Monica College complies with these Commission policies.  The College does not have any Contractual Relationships with Non-Regionally Accredited Organizations, and is wholly compliant with Title IV requirements.</w:t>
            </w:r>
          </w:p>
        </w:tc>
      </w:tr>
    </w:tbl>
    <w:p w14:paraId="769F390E" w14:textId="5F1EBF69" w:rsidR="00FC73E0" w:rsidRDefault="00FC73E0" w:rsidP="002B6FD1">
      <w:pPr>
        <w:pStyle w:val="Normalwithspacebetween"/>
      </w:pPr>
    </w:p>
    <w:p w14:paraId="4435D3DE" w14:textId="77777777" w:rsidR="00BE4A8D" w:rsidRDefault="00BE4A8D">
      <w:r>
        <w:br w:type="page"/>
      </w:r>
    </w:p>
    <w:p w14:paraId="70E0994B" w14:textId="5988B999" w:rsidR="00720091" w:rsidRDefault="00720091" w:rsidP="00BE4A8D">
      <w:pPr>
        <w:pStyle w:val="Heading3"/>
      </w:pPr>
      <w:r>
        <w:lastRenderedPageBreak/>
        <w:t>LIST OF EVIDENCE</w:t>
      </w:r>
      <w:r w:rsidR="00EC4246">
        <w:t xml:space="preserve"> FOR INTRODUCTORY SECTIONS</w:t>
      </w:r>
    </w:p>
    <w:sectPr w:rsidR="00720091" w:rsidSect="00EC4246">
      <w:headerReference w:type="default" r:id="rId117"/>
      <w:endnotePr>
        <w:numFmt w:val="decimal"/>
      </w:endnotePr>
      <w:type w:val="oddPage"/>
      <w:pgSz w:w="12240" w:h="15840"/>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099370" w14:textId="77777777" w:rsidR="00DC7C37" w:rsidRDefault="00DC7C37" w:rsidP="0091055F">
      <w:r>
        <w:separator/>
      </w:r>
    </w:p>
  </w:endnote>
  <w:endnote w:type="continuationSeparator" w:id="0">
    <w:p w14:paraId="6E212D93" w14:textId="77777777" w:rsidR="00DC7C37" w:rsidRDefault="00DC7C37" w:rsidP="0091055F">
      <w:r>
        <w:continuationSeparator/>
      </w:r>
    </w:p>
  </w:endnote>
  <w:endnote w:id="1">
    <w:p w14:paraId="411C4D54" w14:textId="12C9CDF7" w:rsidR="0077263C" w:rsidRDefault="0077263C" w:rsidP="00B2112C">
      <w:pPr>
        <w:pStyle w:val="EndnoteText"/>
        <w:tabs>
          <w:tab w:val="left" w:pos="540"/>
        </w:tabs>
        <w:ind w:left="360" w:hanging="360"/>
      </w:pPr>
      <w:r>
        <w:rPr>
          <w:rStyle w:val="EndnoteReference"/>
        </w:rPr>
        <w:endnoteRef/>
      </w:r>
      <w:r>
        <w:tab/>
      </w:r>
      <w:r w:rsidRPr="00C9560B">
        <w:t>2016_Dashboard_Final.pdf</w:t>
      </w:r>
    </w:p>
  </w:endnote>
  <w:endnote w:id="2">
    <w:p w14:paraId="73497752" w14:textId="218178E3" w:rsidR="0077263C" w:rsidRPr="00CA763D" w:rsidRDefault="0077263C" w:rsidP="00B2112C">
      <w:pPr>
        <w:pStyle w:val="EndnoteText"/>
        <w:tabs>
          <w:tab w:val="left" w:pos="540"/>
        </w:tabs>
        <w:ind w:left="360" w:hanging="360"/>
        <w:rPr>
          <w:rFonts w:asciiTheme="majorHAnsi" w:hAnsiTheme="majorHAnsi"/>
        </w:rPr>
      </w:pPr>
      <w:r>
        <w:rPr>
          <w:rStyle w:val="EndnoteReference"/>
        </w:rPr>
        <w:endnoteRef/>
      </w:r>
      <w:r>
        <w:tab/>
      </w:r>
      <w:r w:rsidRPr="00CA763D">
        <w:rPr>
          <w:rFonts w:asciiTheme="majorHAnsi" w:hAnsiTheme="majorHAnsi"/>
        </w:rPr>
        <w:t>E</w:t>
      </w:r>
      <w:r>
        <w:rPr>
          <w:rFonts w:asciiTheme="majorHAnsi" w:hAnsiTheme="majorHAnsi"/>
        </w:rPr>
        <w:t>R</w:t>
      </w:r>
      <w:r w:rsidRPr="00CA763D">
        <w:rPr>
          <w:rFonts w:asciiTheme="majorHAnsi" w:hAnsiTheme="majorHAnsi"/>
        </w:rPr>
        <w:t>1_Part43_CEC_Sections_70900_and_70901.pdf</w:t>
      </w:r>
    </w:p>
  </w:endnote>
  <w:endnote w:id="3">
    <w:p w14:paraId="3E9E6398" w14:textId="5772D822" w:rsidR="0077263C" w:rsidRPr="00CA763D" w:rsidRDefault="0077263C" w:rsidP="00B2112C">
      <w:pPr>
        <w:pStyle w:val="EndnoteText"/>
        <w:tabs>
          <w:tab w:val="left" w:pos="540"/>
        </w:tabs>
        <w:ind w:left="360" w:hanging="360"/>
        <w:rPr>
          <w:rFonts w:asciiTheme="majorHAnsi" w:hAnsiTheme="majorHAnsi"/>
        </w:rPr>
      </w:pPr>
      <w:r w:rsidRPr="00C878A9">
        <w:rPr>
          <w:rStyle w:val="EndnoteReference"/>
        </w:rPr>
        <w:endnoteRef/>
      </w:r>
      <w:r>
        <w:rPr>
          <w:rStyle w:val="EndnoteReference"/>
        </w:rPr>
        <w:tab/>
      </w:r>
      <w:r w:rsidRPr="00C878A9">
        <w:rPr>
          <w:rFonts w:asciiTheme="majorHAnsi" w:hAnsiTheme="majorHAnsi"/>
        </w:rPr>
        <w:t>ER1_Accreditation_2010_Action_Letter_from_the_ACCJC_06-30-2010</w:t>
      </w:r>
      <w:r>
        <w:rPr>
          <w:rFonts w:asciiTheme="majorHAnsi" w:hAnsiTheme="majorHAnsi"/>
        </w:rPr>
        <w:t>.pdf</w:t>
      </w:r>
    </w:p>
  </w:endnote>
  <w:endnote w:id="4">
    <w:p w14:paraId="421E6499" w14:textId="38A98320" w:rsidR="0077263C" w:rsidRPr="00476F5A" w:rsidRDefault="0077263C" w:rsidP="00B2112C">
      <w:pPr>
        <w:pStyle w:val="EndnoteText"/>
        <w:tabs>
          <w:tab w:val="left" w:pos="540"/>
        </w:tabs>
        <w:ind w:left="360" w:hanging="360"/>
        <w:rPr>
          <w:rFonts w:asciiTheme="majorHAnsi" w:hAnsiTheme="majorHAnsi"/>
        </w:rPr>
      </w:pPr>
      <w:r>
        <w:rPr>
          <w:rStyle w:val="EndnoteReference"/>
        </w:rPr>
        <w:endnoteRef/>
      </w:r>
      <w:r>
        <w:tab/>
      </w:r>
      <w:r w:rsidRPr="00476F5A">
        <w:rPr>
          <w:rFonts w:asciiTheme="majorHAnsi" w:hAnsiTheme="majorHAnsi"/>
        </w:rPr>
        <w:t>ER2_Student_Headcount_Past_Six_Years.pdf</w:t>
      </w:r>
    </w:p>
  </w:endnote>
  <w:endnote w:id="5">
    <w:p w14:paraId="5ADF148E" w14:textId="6BCC55D1" w:rsidR="0077263C" w:rsidRPr="00CA763D" w:rsidRDefault="0077263C" w:rsidP="00B2112C">
      <w:pPr>
        <w:pStyle w:val="EndnoteText"/>
        <w:tabs>
          <w:tab w:val="left" w:pos="540"/>
        </w:tabs>
        <w:ind w:left="360" w:hanging="360"/>
        <w:rPr>
          <w:rFonts w:asciiTheme="majorHAnsi" w:hAnsiTheme="majorHAnsi"/>
        </w:rPr>
      </w:pPr>
      <w:r w:rsidRPr="00C878A9">
        <w:rPr>
          <w:rStyle w:val="EndnoteReference"/>
        </w:rPr>
        <w:endnoteRef/>
      </w:r>
      <w:r>
        <w:rPr>
          <w:rStyle w:val="EndnoteReference"/>
        </w:rPr>
        <w:tab/>
      </w:r>
      <w:r>
        <w:rPr>
          <w:rFonts w:asciiTheme="majorHAnsi" w:hAnsiTheme="majorHAnsi"/>
        </w:rPr>
        <w:t>ER2_Educational_Goal</w:t>
      </w:r>
      <w:r w:rsidRPr="00CA763D">
        <w:rPr>
          <w:rFonts w:asciiTheme="majorHAnsi" w:hAnsiTheme="majorHAnsi"/>
        </w:rPr>
        <w:t>.pdf</w:t>
      </w:r>
    </w:p>
  </w:endnote>
  <w:endnote w:id="6">
    <w:p w14:paraId="76CA6A26" w14:textId="777BCB40" w:rsidR="0077263C" w:rsidRDefault="0077263C" w:rsidP="00B2112C">
      <w:pPr>
        <w:pStyle w:val="EndnoteText"/>
        <w:tabs>
          <w:tab w:val="left" w:pos="540"/>
        </w:tabs>
        <w:ind w:left="360" w:hanging="360"/>
      </w:pPr>
      <w:r>
        <w:rPr>
          <w:rStyle w:val="EndnoteReference"/>
        </w:rPr>
        <w:endnoteRef/>
      </w:r>
      <w:r>
        <w:tab/>
      </w:r>
      <w:r w:rsidRPr="00476F5A">
        <w:rPr>
          <w:rFonts w:asciiTheme="majorHAnsi" w:hAnsiTheme="majorHAnsi"/>
        </w:rPr>
        <w:t>ER2_Degrees_and_Certificates_Awarded</w:t>
      </w:r>
      <w:r>
        <w:rPr>
          <w:rFonts w:asciiTheme="majorHAnsi" w:hAnsiTheme="majorHAnsi"/>
        </w:rPr>
        <w:t>.pdf</w:t>
      </w:r>
    </w:p>
  </w:endnote>
  <w:endnote w:id="7">
    <w:p w14:paraId="42714457" w14:textId="74812C52" w:rsidR="0077263C" w:rsidRPr="00CA763D" w:rsidRDefault="0077263C" w:rsidP="00B2112C">
      <w:pPr>
        <w:pStyle w:val="EndnoteText"/>
        <w:tabs>
          <w:tab w:val="left" w:pos="540"/>
        </w:tabs>
        <w:ind w:left="360" w:hanging="360"/>
        <w:rPr>
          <w:rFonts w:asciiTheme="majorHAnsi" w:hAnsiTheme="majorHAnsi"/>
        </w:rPr>
      </w:pPr>
      <w:r w:rsidRPr="00C878A9">
        <w:rPr>
          <w:rStyle w:val="EndnoteReference"/>
        </w:rPr>
        <w:endnoteRef/>
      </w:r>
      <w:r>
        <w:rPr>
          <w:rFonts w:asciiTheme="majorHAnsi" w:hAnsiTheme="majorHAnsi"/>
        </w:rPr>
        <w:tab/>
      </w:r>
      <w:r w:rsidRPr="00720091">
        <w:rPr>
          <w:rFonts w:asciiTheme="majorHAnsi" w:hAnsiTheme="majorHAnsi"/>
        </w:rPr>
        <w:t>ER3_pp59-61_College_Catalog_2015-16.pdf</w:t>
      </w:r>
    </w:p>
  </w:endnote>
  <w:endnote w:id="8">
    <w:p w14:paraId="0E57A157" w14:textId="1B5777CB" w:rsidR="0077263C" w:rsidRPr="00CA763D" w:rsidRDefault="0077263C" w:rsidP="00B2112C">
      <w:pPr>
        <w:pStyle w:val="EndnoteText"/>
        <w:tabs>
          <w:tab w:val="left" w:pos="540"/>
        </w:tabs>
        <w:ind w:left="360" w:hanging="360"/>
        <w:rPr>
          <w:rFonts w:asciiTheme="majorHAnsi" w:hAnsiTheme="majorHAnsi"/>
        </w:rPr>
      </w:pPr>
      <w:r w:rsidRPr="00C878A9">
        <w:rPr>
          <w:rStyle w:val="EndnoteReference"/>
        </w:rPr>
        <w:endnoteRef/>
      </w:r>
      <w:r>
        <w:rPr>
          <w:rFonts w:asciiTheme="majorHAnsi" w:hAnsiTheme="majorHAnsi"/>
        </w:rPr>
        <w:tab/>
      </w:r>
      <w:r w:rsidRPr="00EB671C">
        <w:rPr>
          <w:rFonts w:asciiTheme="majorHAnsi" w:hAnsiTheme="majorHAnsi"/>
        </w:rPr>
        <w:t>ER3_Active_ADTs_July2016_CCCCO.pdf</w:t>
      </w:r>
    </w:p>
  </w:endnote>
  <w:endnote w:id="9">
    <w:p w14:paraId="52D53104" w14:textId="2A7A9A94" w:rsidR="0077263C" w:rsidRPr="00CA763D" w:rsidRDefault="0077263C" w:rsidP="00B2112C">
      <w:pPr>
        <w:pStyle w:val="EndnoteText"/>
        <w:tabs>
          <w:tab w:val="left" w:pos="540"/>
        </w:tabs>
        <w:ind w:left="360" w:hanging="360"/>
        <w:rPr>
          <w:rFonts w:asciiTheme="majorHAnsi" w:hAnsiTheme="majorHAnsi"/>
        </w:rPr>
      </w:pPr>
      <w:r w:rsidRPr="00C878A9">
        <w:rPr>
          <w:rStyle w:val="EndnoteReference"/>
        </w:rPr>
        <w:endnoteRef/>
      </w:r>
      <w:r>
        <w:rPr>
          <w:rFonts w:asciiTheme="majorHAnsi" w:hAnsiTheme="majorHAnsi"/>
        </w:rPr>
        <w:tab/>
      </w:r>
      <w:r w:rsidRPr="00720091">
        <w:rPr>
          <w:rFonts w:asciiTheme="majorHAnsi" w:hAnsiTheme="majorHAnsi"/>
        </w:rPr>
        <w:t>ER3_pp58-187_College_Catalog_2015-16.pdf</w:t>
      </w:r>
    </w:p>
  </w:endnote>
  <w:endnote w:id="10">
    <w:p w14:paraId="45542418" w14:textId="691C97AF" w:rsidR="0077263C" w:rsidRPr="008D5D3C" w:rsidRDefault="0077263C" w:rsidP="00B2112C">
      <w:pPr>
        <w:pStyle w:val="EndnoteText"/>
        <w:tabs>
          <w:tab w:val="left" w:pos="540"/>
        </w:tabs>
        <w:ind w:left="360" w:hanging="360"/>
        <w:rPr>
          <w:rFonts w:asciiTheme="majorHAnsi" w:hAnsiTheme="majorHAnsi"/>
        </w:rPr>
      </w:pPr>
      <w:r w:rsidRPr="008D5D3C">
        <w:rPr>
          <w:rStyle w:val="EndnoteReference"/>
          <w:rFonts w:asciiTheme="majorHAnsi" w:hAnsiTheme="majorHAnsi"/>
        </w:rPr>
        <w:endnoteRef/>
      </w:r>
      <w:r>
        <w:rPr>
          <w:rFonts w:asciiTheme="majorHAnsi" w:hAnsiTheme="majorHAnsi"/>
        </w:rPr>
        <w:tab/>
      </w:r>
      <w:r w:rsidRPr="008D5D3C">
        <w:rPr>
          <w:rFonts w:asciiTheme="majorHAnsi" w:hAnsiTheme="majorHAnsi"/>
        </w:rPr>
        <w:t>ER3_Substantive_Change_Proposal_Bachelor_of_Science_in_Interaction_Design</w:t>
      </w:r>
      <w:r>
        <w:rPr>
          <w:rFonts w:asciiTheme="majorHAnsi" w:hAnsiTheme="majorHAnsi"/>
        </w:rPr>
        <w:t>.pdf</w:t>
      </w:r>
    </w:p>
  </w:endnote>
  <w:endnote w:id="11">
    <w:p w14:paraId="13C2433A" w14:textId="5506B9C7" w:rsidR="0077263C" w:rsidRPr="008D5D3C" w:rsidRDefault="0077263C" w:rsidP="00B2112C">
      <w:pPr>
        <w:pStyle w:val="EndnoteText"/>
        <w:tabs>
          <w:tab w:val="left" w:pos="540"/>
        </w:tabs>
        <w:ind w:left="360" w:hanging="360"/>
        <w:rPr>
          <w:rFonts w:asciiTheme="majorHAnsi" w:hAnsiTheme="majorHAnsi"/>
        </w:rPr>
      </w:pPr>
      <w:r w:rsidRPr="008D5D3C">
        <w:rPr>
          <w:rStyle w:val="EndnoteReference"/>
          <w:rFonts w:asciiTheme="majorHAnsi" w:hAnsiTheme="majorHAnsi"/>
        </w:rPr>
        <w:endnoteRef/>
      </w:r>
      <w:r>
        <w:rPr>
          <w:rFonts w:asciiTheme="majorHAnsi" w:hAnsiTheme="majorHAnsi"/>
        </w:rPr>
        <w:tab/>
        <w:t>ER3_ACCJC_Letter_Approving_BS_SubChg_12-10-05.pdf</w:t>
      </w:r>
    </w:p>
  </w:endnote>
  <w:endnote w:id="12">
    <w:p w14:paraId="248179A2" w14:textId="550E6E0B" w:rsidR="0077263C" w:rsidRPr="008D5D3C" w:rsidRDefault="0077263C" w:rsidP="00B2112C">
      <w:pPr>
        <w:pStyle w:val="EndnoteText"/>
        <w:tabs>
          <w:tab w:val="left" w:pos="540"/>
        </w:tabs>
        <w:ind w:left="360" w:hanging="360"/>
        <w:rPr>
          <w:rFonts w:asciiTheme="majorHAnsi" w:hAnsiTheme="majorHAnsi"/>
        </w:rPr>
      </w:pPr>
      <w:r w:rsidRPr="008D5D3C">
        <w:rPr>
          <w:rStyle w:val="EndnoteReference"/>
          <w:rFonts w:asciiTheme="majorHAnsi" w:hAnsiTheme="majorHAnsi"/>
        </w:rPr>
        <w:endnoteRef/>
      </w:r>
      <w:r>
        <w:rPr>
          <w:rFonts w:asciiTheme="majorHAnsi" w:hAnsiTheme="majorHAnsi"/>
        </w:rPr>
        <w:tab/>
      </w:r>
      <w:r w:rsidRPr="008D5D3C">
        <w:rPr>
          <w:rFonts w:asciiTheme="majorHAnsi" w:hAnsiTheme="majorHAnsi"/>
        </w:rPr>
        <w:t>ER4_BP1265_and_BP1266_Superintendent_President_Succession_and_Selection</w:t>
      </w:r>
      <w:r>
        <w:rPr>
          <w:rFonts w:asciiTheme="majorHAnsi" w:hAnsiTheme="majorHAnsi"/>
        </w:rPr>
        <w:t>.pdf</w:t>
      </w:r>
    </w:p>
  </w:endnote>
  <w:endnote w:id="13">
    <w:p w14:paraId="00F97DA2" w14:textId="25A09203" w:rsidR="0077263C" w:rsidRPr="008D5D3C" w:rsidRDefault="0077263C" w:rsidP="00B2112C">
      <w:pPr>
        <w:pStyle w:val="EndnoteText"/>
        <w:tabs>
          <w:tab w:val="left" w:pos="540"/>
        </w:tabs>
        <w:ind w:left="360" w:hanging="360"/>
        <w:rPr>
          <w:rFonts w:asciiTheme="majorHAnsi" w:hAnsiTheme="majorHAnsi"/>
        </w:rPr>
      </w:pPr>
      <w:r w:rsidRPr="008D5D3C">
        <w:rPr>
          <w:rStyle w:val="EndnoteReference"/>
          <w:rFonts w:asciiTheme="majorHAnsi" w:hAnsiTheme="majorHAnsi"/>
        </w:rPr>
        <w:endnoteRef/>
      </w:r>
      <w:r>
        <w:rPr>
          <w:rFonts w:asciiTheme="majorHAnsi" w:hAnsiTheme="majorHAnsi"/>
        </w:rPr>
        <w:tab/>
      </w:r>
      <w:r w:rsidRPr="008D5D3C">
        <w:rPr>
          <w:rFonts w:asciiTheme="majorHAnsi" w:hAnsiTheme="majorHAnsi"/>
        </w:rPr>
        <w:t>ER4_BP1280_Evaluation_of_the_Superintendent_President</w:t>
      </w:r>
      <w:r>
        <w:rPr>
          <w:rFonts w:asciiTheme="majorHAnsi" w:hAnsiTheme="majorHAnsi"/>
        </w:rPr>
        <w:t>.pdf</w:t>
      </w:r>
    </w:p>
  </w:endnote>
  <w:endnote w:id="14">
    <w:p w14:paraId="2ED2620A" w14:textId="1C0E33CA" w:rsidR="0077263C" w:rsidRPr="008D5D3C" w:rsidRDefault="0077263C" w:rsidP="00B2112C">
      <w:pPr>
        <w:pStyle w:val="EndnoteText"/>
        <w:tabs>
          <w:tab w:val="left" w:pos="540"/>
        </w:tabs>
        <w:ind w:left="360" w:hanging="360"/>
        <w:rPr>
          <w:rFonts w:asciiTheme="majorHAnsi" w:hAnsiTheme="majorHAnsi"/>
        </w:rPr>
      </w:pPr>
      <w:r w:rsidRPr="008D5D3C">
        <w:rPr>
          <w:rStyle w:val="EndnoteReference"/>
          <w:rFonts w:asciiTheme="majorHAnsi" w:hAnsiTheme="majorHAnsi"/>
        </w:rPr>
        <w:endnoteRef/>
      </w:r>
      <w:r>
        <w:rPr>
          <w:rFonts w:asciiTheme="majorHAnsi" w:hAnsiTheme="majorHAnsi"/>
        </w:rPr>
        <w:tab/>
      </w:r>
      <w:r w:rsidRPr="008D5D3C">
        <w:rPr>
          <w:rFonts w:asciiTheme="majorHAnsi" w:hAnsiTheme="majorHAnsi"/>
        </w:rPr>
        <w:t>ER4_Kathryn_E_Jeffery_Superintendendent_President</w:t>
      </w:r>
      <w:r>
        <w:rPr>
          <w:rFonts w:asciiTheme="majorHAnsi" w:hAnsiTheme="majorHAnsi"/>
        </w:rPr>
        <w:t>.pdf</w:t>
      </w:r>
    </w:p>
  </w:endnote>
  <w:endnote w:id="15">
    <w:p w14:paraId="5807F57E" w14:textId="67E596C9" w:rsidR="0077263C" w:rsidRPr="008D5D3C" w:rsidRDefault="0077263C" w:rsidP="00B2112C">
      <w:pPr>
        <w:pStyle w:val="EndnoteText"/>
        <w:tabs>
          <w:tab w:val="left" w:pos="540"/>
        </w:tabs>
        <w:ind w:left="360" w:hanging="360"/>
        <w:rPr>
          <w:rFonts w:asciiTheme="majorHAnsi" w:hAnsiTheme="majorHAnsi"/>
        </w:rPr>
      </w:pPr>
      <w:r w:rsidRPr="008D5D3C">
        <w:rPr>
          <w:rStyle w:val="EndnoteReference"/>
          <w:rFonts w:asciiTheme="majorHAnsi" w:hAnsiTheme="majorHAnsi"/>
        </w:rPr>
        <w:endnoteRef/>
      </w:r>
      <w:r>
        <w:rPr>
          <w:rFonts w:asciiTheme="majorHAnsi" w:hAnsiTheme="majorHAnsi"/>
        </w:rPr>
        <w:tab/>
      </w:r>
      <w:r w:rsidRPr="008D5D3C">
        <w:rPr>
          <w:rFonts w:asciiTheme="majorHAnsi" w:hAnsiTheme="majorHAnsi"/>
        </w:rPr>
        <w:t>ER4_BT_Minutes_11-17-15_Appt_of_Dr_Jeffery_Superintendent-President</w:t>
      </w:r>
      <w:r>
        <w:rPr>
          <w:rFonts w:asciiTheme="majorHAnsi" w:hAnsiTheme="majorHAnsi"/>
        </w:rPr>
        <w:t>.pdf</w:t>
      </w:r>
    </w:p>
  </w:endnote>
  <w:endnote w:id="16">
    <w:p w14:paraId="13F6073E" w14:textId="76C14220" w:rsidR="0077263C" w:rsidRDefault="0077263C" w:rsidP="00634B8C">
      <w:pPr>
        <w:pStyle w:val="EndnoteText"/>
        <w:tabs>
          <w:tab w:val="left" w:pos="360"/>
        </w:tabs>
      </w:pPr>
      <w:r>
        <w:rPr>
          <w:rStyle w:val="EndnoteReference"/>
        </w:rPr>
        <w:endnoteRef/>
      </w:r>
      <w:r>
        <w:t xml:space="preserve"> </w:t>
      </w:r>
      <w:r>
        <w:rPr>
          <w:rFonts w:asciiTheme="majorHAnsi" w:hAnsiTheme="majorHAnsi"/>
        </w:rPr>
        <w:tab/>
        <w:t>ER4_</w:t>
      </w:r>
      <w:r w:rsidRPr="00634B8C">
        <w:rPr>
          <w:rFonts w:asciiTheme="majorHAnsi" w:hAnsiTheme="majorHAnsi"/>
        </w:rPr>
        <w:t>ER4_Duties_of_CEO_signed_by_CEO_and_BoardChair</w:t>
      </w:r>
      <w:r>
        <w:rPr>
          <w:rFonts w:asciiTheme="majorHAnsi" w:hAnsiTheme="majorHAnsi"/>
        </w:rPr>
        <w:t>.pdf</w:t>
      </w:r>
    </w:p>
  </w:endnote>
  <w:endnote w:id="17">
    <w:p w14:paraId="4CFD8AAC" w14:textId="6DD68504" w:rsidR="0077263C" w:rsidRPr="008D5D3C" w:rsidRDefault="0077263C" w:rsidP="00B2112C">
      <w:pPr>
        <w:pStyle w:val="EndnoteText"/>
        <w:tabs>
          <w:tab w:val="left" w:pos="540"/>
        </w:tabs>
        <w:ind w:left="360" w:hanging="360"/>
        <w:rPr>
          <w:rFonts w:asciiTheme="majorHAnsi" w:hAnsiTheme="majorHAnsi"/>
        </w:rPr>
      </w:pPr>
      <w:r w:rsidRPr="008D5D3C">
        <w:rPr>
          <w:rStyle w:val="EndnoteReference"/>
          <w:rFonts w:asciiTheme="majorHAnsi" w:hAnsiTheme="majorHAnsi"/>
        </w:rPr>
        <w:endnoteRef/>
      </w:r>
      <w:r>
        <w:rPr>
          <w:rFonts w:asciiTheme="majorHAnsi" w:hAnsiTheme="majorHAnsi"/>
        </w:rPr>
        <w:tab/>
      </w:r>
      <w:r w:rsidRPr="008D5D3C">
        <w:rPr>
          <w:rFonts w:asciiTheme="majorHAnsi" w:hAnsiTheme="majorHAnsi"/>
        </w:rPr>
        <w:t>ER4_BP1262_and_BP1263_Duties_of_the_Secretary_to_the_BT</w:t>
      </w:r>
      <w:r>
        <w:rPr>
          <w:rFonts w:asciiTheme="majorHAnsi" w:hAnsiTheme="majorHAnsi"/>
        </w:rPr>
        <w:t>.pdf</w:t>
      </w:r>
    </w:p>
  </w:endnote>
  <w:endnote w:id="18">
    <w:p w14:paraId="7652FA6F" w14:textId="59B9EF26" w:rsidR="0077263C" w:rsidRPr="008D5D3C" w:rsidRDefault="0077263C" w:rsidP="00B2112C">
      <w:pPr>
        <w:pStyle w:val="EndnoteText"/>
        <w:tabs>
          <w:tab w:val="left" w:pos="540"/>
        </w:tabs>
        <w:ind w:left="360" w:hanging="360"/>
        <w:rPr>
          <w:rFonts w:asciiTheme="majorHAnsi" w:hAnsiTheme="majorHAnsi"/>
        </w:rPr>
      </w:pPr>
      <w:r w:rsidRPr="008D5D3C">
        <w:rPr>
          <w:rStyle w:val="EndnoteReference"/>
          <w:rFonts w:asciiTheme="majorHAnsi" w:hAnsiTheme="majorHAnsi"/>
        </w:rPr>
        <w:endnoteRef/>
      </w:r>
      <w:r>
        <w:rPr>
          <w:rFonts w:asciiTheme="majorHAnsi" w:hAnsiTheme="majorHAnsi"/>
        </w:rPr>
        <w:tab/>
      </w:r>
      <w:r w:rsidRPr="008D5D3C">
        <w:rPr>
          <w:rFonts w:asciiTheme="majorHAnsi" w:hAnsiTheme="majorHAnsi"/>
        </w:rPr>
        <w:t>ER4_BT_Minutes_2-3-15_Dr_Tsang_Announcing_Retirement</w:t>
      </w:r>
      <w:r>
        <w:rPr>
          <w:rFonts w:asciiTheme="majorHAnsi" w:hAnsiTheme="majorHAnsi"/>
        </w:rPr>
        <w:t>.pdf</w:t>
      </w:r>
    </w:p>
  </w:endnote>
  <w:endnote w:id="19">
    <w:p w14:paraId="0B8F2672" w14:textId="4D187905" w:rsidR="0077263C" w:rsidRPr="008D5D3C" w:rsidRDefault="0077263C" w:rsidP="00B2112C">
      <w:pPr>
        <w:pStyle w:val="EndnoteText"/>
        <w:tabs>
          <w:tab w:val="left" w:pos="540"/>
        </w:tabs>
        <w:ind w:left="360" w:hanging="360"/>
        <w:rPr>
          <w:rFonts w:asciiTheme="majorHAnsi" w:hAnsiTheme="majorHAnsi"/>
        </w:rPr>
      </w:pPr>
      <w:r w:rsidRPr="008D5D3C">
        <w:rPr>
          <w:rStyle w:val="EndnoteReference"/>
          <w:rFonts w:asciiTheme="majorHAnsi" w:hAnsiTheme="majorHAnsi"/>
        </w:rPr>
        <w:endnoteRef/>
      </w:r>
      <w:r>
        <w:rPr>
          <w:rFonts w:asciiTheme="majorHAnsi" w:hAnsiTheme="majorHAnsi"/>
        </w:rPr>
        <w:tab/>
      </w:r>
      <w:r w:rsidRPr="008D5D3C">
        <w:rPr>
          <w:rFonts w:asciiTheme="majorHAnsi" w:hAnsiTheme="majorHAnsi"/>
        </w:rPr>
        <w:t>ER4_BT_Minutes_3-3-2015_Appt_of_Jeff_Shimizu_Interim_Superintendent-President</w:t>
      </w:r>
      <w:r>
        <w:rPr>
          <w:rFonts w:asciiTheme="majorHAnsi" w:hAnsiTheme="majorHAnsi"/>
        </w:rPr>
        <w:t>.pdf</w:t>
      </w:r>
    </w:p>
  </w:endnote>
  <w:endnote w:id="20">
    <w:p w14:paraId="18FD8FD5" w14:textId="3EE78417" w:rsidR="0077263C" w:rsidRPr="008D5D3C" w:rsidRDefault="0077263C" w:rsidP="00B2112C">
      <w:pPr>
        <w:pStyle w:val="EndnoteText"/>
        <w:tabs>
          <w:tab w:val="left" w:pos="540"/>
        </w:tabs>
        <w:ind w:left="360" w:hanging="360"/>
        <w:rPr>
          <w:rFonts w:asciiTheme="majorHAnsi" w:hAnsiTheme="majorHAnsi"/>
        </w:rPr>
      </w:pPr>
      <w:r w:rsidRPr="008D5D3C">
        <w:rPr>
          <w:rStyle w:val="EndnoteReference"/>
          <w:rFonts w:asciiTheme="majorHAnsi" w:hAnsiTheme="majorHAnsi"/>
        </w:rPr>
        <w:endnoteRef/>
      </w:r>
      <w:r>
        <w:rPr>
          <w:rFonts w:asciiTheme="majorHAnsi" w:hAnsiTheme="majorHAnsi"/>
        </w:rPr>
        <w:tab/>
        <w:t>ER4_ACCJC_Directory_Info_2016.pdf</w:t>
      </w:r>
    </w:p>
  </w:endnote>
  <w:endnote w:id="21">
    <w:p w14:paraId="2C67B913" w14:textId="52C346F0" w:rsidR="0077263C" w:rsidRPr="008D5D3C" w:rsidRDefault="0077263C" w:rsidP="00B2112C">
      <w:pPr>
        <w:pStyle w:val="EndnoteText"/>
        <w:tabs>
          <w:tab w:val="left" w:pos="540"/>
        </w:tabs>
        <w:ind w:left="360" w:hanging="360"/>
        <w:rPr>
          <w:rFonts w:asciiTheme="majorHAnsi" w:hAnsiTheme="majorHAnsi"/>
        </w:rPr>
      </w:pPr>
      <w:r w:rsidRPr="008D5D3C">
        <w:rPr>
          <w:rStyle w:val="EndnoteReference"/>
          <w:rFonts w:asciiTheme="majorHAnsi" w:hAnsiTheme="majorHAnsi"/>
        </w:rPr>
        <w:endnoteRef/>
      </w:r>
      <w:r>
        <w:rPr>
          <w:rFonts w:asciiTheme="majorHAnsi" w:hAnsiTheme="majorHAnsi"/>
        </w:rPr>
        <w:tab/>
      </w:r>
      <w:r w:rsidRPr="008D5D3C">
        <w:rPr>
          <w:rFonts w:asciiTheme="majorHAnsi" w:hAnsiTheme="majorHAnsi"/>
        </w:rPr>
        <w:t>ER5_Audit_and_EPA_Information</w:t>
      </w:r>
      <w:r>
        <w:rPr>
          <w:rFonts w:asciiTheme="majorHAnsi" w:hAnsiTheme="majorHAnsi"/>
        </w:rPr>
        <w:t>.pdf</w:t>
      </w:r>
    </w:p>
  </w:endnote>
  <w:endnote w:id="22">
    <w:p w14:paraId="2233D04A" w14:textId="00BEC334" w:rsidR="0077263C" w:rsidRPr="008D5D3C" w:rsidRDefault="0077263C" w:rsidP="00B2112C">
      <w:pPr>
        <w:pStyle w:val="EndnoteText"/>
        <w:tabs>
          <w:tab w:val="left" w:pos="540"/>
        </w:tabs>
        <w:ind w:left="360" w:hanging="360"/>
        <w:rPr>
          <w:rFonts w:asciiTheme="majorHAnsi" w:hAnsiTheme="majorHAnsi"/>
        </w:rPr>
      </w:pPr>
      <w:r w:rsidRPr="008D5D3C">
        <w:rPr>
          <w:rStyle w:val="EndnoteReference"/>
          <w:rFonts w:asciiTheme="majorHAnsi" w:hAnsiTheme="majorHAnsi"/>
        </w:rPr>
        <w:endnoteRef/>
      </w:r>
      <w:r>
        <w:rPr>
          <w:rFonts w:asciiTheme="majorHAnsi" w:hAnsiTheme="majorHAnsi"/>
        </w:rPr>
        <w:tab/>
      </w:r>
      <w:r w:rsidRPr="008D5D3C">
        <w:rPr>
          <w:rFonts w:asciiTheme="majorHAnsi" w:hAnsiTheme="majorHAnsi"/>
        </w:rPr>
        <w:t>ER5_</w:t>
      </w:r>
      <w:r>
        <w:rPr>
          <w:rFonts w:asciiTheme="majorHAnsi" w:hAnsiTheme="majorHAnsi"/>
        </w:rPr>
        <w:t>Audit_Reports_2010-11_through_2014-15.pdf</w:t>
      </w:r>
    </w:p>
  </w:endnote>
  <w:endnote w:id="23">
    <w:p w14:paraId="1BC8A75C" w14:textId="69096A12" w:rsidR="0077263C" w:rsidRPr="008D5D3C" w:rsidRDefault="0077263C" w:rsidP="00B2112C">
      <w:pPr>
        <w:pStyle w:val="EndnoteText"/>
        <w:tabs>
          <w:tab w:val="left" w:pos="540"/>
        </w:tabs>
        <w:ind w:left="360" w:hanging="360"/>
        <w:rPr>
          <w:rFonts w:asciiTheme="majorHAnsi" w:hAnsiTheme="majorHAnsi"/>
        </w:rPr>
      </w:pPr>
      <w:r w:rsidRPr="008D5D3C">
        <w:rPr>
          <w:rStyle w:val="EndnoteReference"/>
          <w:rFonts w:asciiTheme="majorHAnsi" w:hAnsiTheme="majorHAnsi"/>
        </w:rPr>
        <w:endnoteRef/>
      </w:r>
      <w:r>
        <w:rPr>
          <w:rFonts w:asciiTheme="majorHAnsi" w:hAnsiTheme="majorHAnsi"/>
        </w:rPr>
        <w:tab/>
      </w:r>
      <w:r w:rsidRPr="008D5D3C">
        <w:rPr>
          <w:rFonts w:asciiTheme="majorHAnsi" w:hAnsiTheme="majorHAnsi"/>
        </w:rPr>
        <w:t>ER5_Financial_Aid_Annual_Program_Review_2014-15_and_2015-16.pdf</w:t>
      </w:r>
    </w:p>
  </w:endnote>
  <w:endnote w:id="24">
    <w:p w14:paraId="667F974B" w14:textId="28854433" w:rsidR="0077263C" w:rsidRPr="008D5D3C" w:rsidRDefault="0077263C" w:rsidP="00B2112C">
      <w:pPr>
        <w:pStyle w:val="EndnoteText"/>
        <w:tabs>
          <w:tab w:val="left" w:pos="540"/>
        </w:tabs>
        <w:ind w:left="360" w:hanging="360"/>
        <w:rPr>
          <w:rFonts w:asciiTheme="majorHAnsi" w:hAnsiTheme="majorHAnsi"/>
        </w:rPr>
      </w:pPr>
      <w:r w:rsidRPr="008D5D3C">
        <w:rPr>
          <w:rStyle w:val="EndnoteReference"/>
          <w:rFonts w:asciiTheme="majorHAnsi" w:hAnsiTheme="majorHAnsi"/>
        </w:rPr>
        <w:endnoteRef/>
      </w:r>
      <w:r>
        <w:rPr>
          <w:rFonts w:asciiTheme="majorHAnsi" w:hAnsiTheme="majorHAnsi"/>
        </w:rPr>
        <w:tab/>
      </w:r>
      <w:r w:rsidRPr="008D5D3C">
        <w:rPr>
          <w:rFonts w:asciiTheme="majorHAnsi" w:hAnsiTheme="majorHAnsi"/>
        </w:rPr>
        <w:t>ER5_Financial_Aid_SixYear_Program_Review_2013-14</w:t>
      </w:r>
      <w:r>
        <w:rPr>
          <w:rFonts w:asciiTheme="majorHAnsi" w:hAnsiTheme="majorHAnsi"/>
        </w:rPr>
        <w:t>.pdf</w:t>
      </w:r>
    </w:p>
  </w:endnote>
  <w:endnote w:id="25">
    <w:p w14:paraId="4B574F47" w14:textId="1B96184B" w:rsidR="0077263C" w:rsidRPr="00720091" w:rsidRDefault="0077263C" w:rsidP="00B2112C">
      <w:pPr>
        <w:pStyle w:val="EndnoteText"/>
        <w:tabs>
          <w:tab w:val="left" w:pos="540"/>
        </w:tabs>
        <w:ind w:left="360" w:hanging="360"/>
        <w:rPr>
          <w:rFonts w:asciiTheme="majorHAnsi" w:hAnsiTheme="majorHAnsi"/>
        </w:rPr>
      </w:pPr>
      <w:r w:rsidRPr="008D5D3C">
        <w:rPr>
          <w:rStyle w:val="EndnoteReference"/>
          <w:rFonts w:asciiTheme="majorHAnsi" w:hAnsiTheme="majorHAnsi"/>
        </w:rPr>
        <w:endnoteRef/>
      </w:r>
      <w:r>
        <w:rPr>
          <w:rFonts w:asciiTheme="majorHAnsi" w:hAnsiTheme="majorHAnsi"/>
        </w:rPr>
        <w:tab/>
      </w:r>
      <w:r w:rsidRPr="008D5D3C">
        <w:rPr>
          <w:rFonts w:asciiTheme="majorHAnsi" w:hAnsiTheme="majorHAnsi"/>
        </w:rPr>
        <w:t>ER5_Two_and_Three_Year_Stude</w:t>
      </w:r>
      <w:r>
        <w:rPr>
          <w:rFonts w:asciiTheme="majorHAnsi" w:hAnsiTheme="majorHAnsi"/>
        </w:rPr>
        <w:t>nt_Loan_Default_Rate_2008-2012.pdf</w:t>
      </w:r>
    </w:p>
  </w:endnote>
  <w:endnote w:id="26">
    <w:p w14:paraId="4EF12967" w14:textId="682EBED3" w:rsidR="0077263C" w:rsidRPr="00770A6F" w:rsidRDefault="0077263C" w:rsidP="00B2112C">
      <w:pPr>
        <w:pStyle w:val="EndnoteText"/>
        <w:tabs>
          <w:tab w:val="left" w:pos="540"/>
        </w:tabs>
        <w:ind w:left="360" w:hanging="360"/>
        <w:rPr>
          <w:rFonts w:asciiTheme="majorHAnsi" w:hAnsiTheme="majorHAnsi"/>
        </w:rPr>
      </w:pPr>
      <w:r w:rsidRPr="00770A6F">
        <w:rPr>
          <w:rStyle w:val="EndnoteReference"/>
          <w:rFonts w:asciiTheme="majorHAnsi" w:hAnsiTheme="majorHAnsi"/>
        </w:rPr>
        <w:endnoteRef/>
      </w:r>
      <w:r>
        <w:rPr>
          <w:rFonts w:asciiTheme="majorHAnsi" w:hAnsiTheme="majorHAnsi"/>
        </w:rPr>
        <w:tab/>
      </w:r>
      <w:r w:rsidRPr="00770A6F">
        <w:rPr>
          <w:rFonts w:asciiTheme="majorHAnsi" w:hAnsiTheme="majorHAnsi"/>
        </w:rPr>
        <w:t>CP_Accreditation_Steering_Committee</w:t>
      </w:r>
      <w:r>
        <w:rPr>
          <w:rFonts w:asciiTheme="majorHAnsi" w:hAnsiTheme="majorHAnsi"/>
        </w:rPr>
        <w:t>.pdf</w:t>
      </w:r>
    </w:p>
  </w:endnote>
  <w:endnote w:id="27">
    <w:p w14:paraId="245DC7C0" w14:textId="5C527B07" w:rsidR="0077263C" w:rsidRPr="00770A6F" w:rsidRDefault="0077263C" w:rsidP="00B2112C">
      <w:pPr>
        <w:pStyle w:val="EndnoteText"/>
        <w:tabs>
          <w:tab w:val="left" w:pos="540"/>
        </w:tabs>
        <w:ind w:left="360" w:hanging="360"/>
        <w:rPr>
          <w:rFonts w:asciiTheme="majorHAnsi" w:hAnsiTheme="majorHAnsi"/>
        </w:rPr>
      </w:pPr>
      <w:r w:rsidRPr="00770A6F">
        <w:rPr>
          <w:rStyle w:val="EndnoteReference"/>
          <w:rFonts w:asciiTheme="majorHAnsi" w:hAnsiTheme="majorHAnsi"/>
        </w:rPr>
        <w:endnoteRef/>
      </w:r>
      <w:r>
        <w:rPr>
          <w:rFonts w:asciiTheme="majorHAnsi" w:hAnsiTheme="majorHAnsi"/>
        </w:rPr>
        <w:tab/>
      </w:r>
      <w:r w:rsidRPr="00770A6F">
        <w:rPr>
          <w:rFonts w:asciiTheme="majorHAnsi" w:hAnsiTheme="majorHAnsi"/>
        </w:rPr>
        <w:t>CP_Student_Complaints_Hearings_and_Appeals</w:t>
      </w:r>
      <w:r>
        <w:rPr>
          <w:rFonts w:asciiTheme="majorHAnsi" w:hAnsiTheme="majorHAnsi"/>
        </w:rPr>
        <w:t>.pdf</w:t>
      </w:r>
    </w:p>
  </w:endnote>
  <w:endnote w:id="28">
    <w:p w14:paraId="4F638A14" w14:textId="65C9D415" w:rsidR="0077263C" w:rsidRPr="00770A6F" w:rsidRDefault="0077263C" w:rsidP="00B2112C">
      <w:pPr>
        <w:pStyle w:val="EndnoteText"/>
        <w:tabs>
          <w:tab w:val="left" w:pos="540"/>
        </w:tabs>
        <w:ind w:left="360" w:hanging="360"/>
        <w:rPr>
          <w:rFonts w:asciiTheme="majorHAnsi" w:hAnsiTheme="majorHAnsi"/>
        </w:rPr>
      </w:pPr>
      <w:r w:rsidRPr="00770A6F">
        <w:rPr>
          <w:rStyle w:val="EndnoteReference"/>
          <w:rFonts w:asciiTheme="majorHAnsi" w:hAnsiTheme="majorHAnsi"/>
        </w:rPr>
        <w:endnoteRef/>
      </w:r>
      <w:r>
        <w:rPr>
          <w:rFonts w:asciiTheme="majorHAnsi" w:hAnsiTheme="majorHAnsi"/>
        </w:rPr>
        <w:tab/>
      </w:r>
      <w:r w:rsidRPr="00720091">
        <w:rPr>
          <w:rFonts w:asciiTheme="majorHAnsi" w:hAnsiTheme="majorHAnsi"/>
        </w:rPr>
        <w:t>CP_P387_College_Catalog_2015-16_Reporting_Complaints.pdf</w:t>
      </w:r>
    </w:p>
  </w:endnote>
  <w:endnote w:id="29">
    <w:p w14:paraId="1C499B8E" w14:textId="645B8CBA" w:rsidR="0077263C" w:rsidRPr="00770A6F" w:rsidRDefault="0077263C" w:rsidP="00B2112C">
      <w:pPr>
        <w:pStyle w:val="EndnoteText"/>
        <w:tabs>
          <w:tab w:val="left" w:pos="540"/>
        </w:tabs>
        <w:ind w:left="360" w:hanging="360"/>
        <w:rPr>
          <w:rFonts w:asciiTheme="majorHAnsi" w:hAnsiTheme="majorHAnsi"/>
        </w:rPr>
      </w:pPr>
      <w:r w:rsidRPr="00770A6F">
        <w:rPr>
          <w:rStyle w:val="EndnoteReference"/>
          <w:rFonts w:asciiTheme="majorHAnsi" w:hAnsiTheme="majorHAnsi"/>
        </w:rPr>
        <w:endnoteRef/>
      </w:r>
      <w:r>
        <w:rPr>
          <w:rFonts w:asciiTheme="majorHAnsi" w:hAnsiTheme="majorHAnsi"/>
        </w:rPr>
        <w:tab/>
      </w:r>
      <w:r w:rsidRPr="00770A6F">
        <w:rPr>
          <w:rFonts w:asciiTheme="majorHAnsi" w:hAnsiTheme="majorHAnsi"/>
        </w:rPr>
        <w:t>CP_AR_4000_StudentServices</w:t>
      </w:r>
      <w:r>
        <w:rPr>
          <w:rFonts w:asciiTheme="majorHAnsi" w:hAnsiTheme="majorHAnsi"/>
        </w:rPr>
        <w:t>.pdf</w:t>
      </w:r>
    </w:p>
  </w:endnote>
  <w:endnote w:id="30">
    <w:p w14:paraId="77717419" w14:textId="2732A0E0" w:rsidR="0077263C" w:rsidRPr="0009738E" w:rsidRDefault="0077263C" w:rsidP="00B2112C">
      <w:pPr>
        <w:pStyle w:val="EndnoteText"/>
        <w:tabs>
          <w:tab w:val="left" w:pos="540"/>
        </w:tabs>
        <w:ind w:left="360" w:hanging="360"/>
        <w:rPr>
          <w:rFonts w:asciiTheme="majorHAnsi" w:hAnsiTheme="majorHAnsi"/>
        </w:rPr>
      </w:pPr>
      <w:r w:rsidRPr="0009738E">
        <w:rPr>
          <w:rStyle w:val="EndnoteReference"/>
          <w:rFonts w:asciiTheme="majorHAnsi" w:hAnsiTheme="majorHAnsi"/>
        </w:rPr>
        <w:endnoteRef/>
      </w:r>
      <w:r>
        <w:rPr>
          <w:rFonts w:asciiTheme="majorHAnsi" w:hAnsiTheme="majorHAnsi"/>
        </w:rPr>
        <w:tab/>
      </w:r>
      <w:r w:rsidRPr="0009738E">
        <w:rPr>
          <w:rFonts w:asciiTheme="majorHAnsi" w:hAnsiTheme="majorHAnsi"/>
        </w:rPr>
        <w:t>CP_Accreditation</w:t>
      </w:r>
      <w:r>
        <w:rPr>
          <w:rFonts w:asciiTheme="majorHAnsi" w:hAnsiTheme="majorHAnsi"/>
        </w:rPr>
        <w:t>2010</w:t>
      </w:r>
      <w:r w:rsidRPr="0009738E">
        <w:rPr>
          <w:rFonts w:asciiTheme="majorHAnsi" w:hAnsiTheme="majorHAnsi"/>
        </w:rPr>
        <w:t>_Followup_and_Midterm_Reports</w:t>
      </w:r>
      <w:r>
        <w:rPr>
          <w:rFonts w:asciiTheme="majorHAnsi" w:hAnsiTheme="majorHAnsi"/>
        </w:rPr>
        <w:t>.pdf</w:t>
      </w:r>
    </w:p>
  </w:endnote>
  <w:endnote w:id="31">
    <w:p w14:paraId="1DFC1256" w14:textId="079A992B" w:rsidR="0077263C" w:rsidRPr="00770A6F" w:rsidRDefault="0077263C" w:rsidP="00B2112C">
      <w:pPr>
        <w:pStyle w:val="EndnoteText"/>
        <w:tabs>
          <w:tab w:val="left" w:pos="540"/>
        </w:tabs>
        <w:ind w:left="360" w:hanging="360"/>
        <w:rPr>
          <w:rFonts w:asciiTheme="majorHAnsi" w:hAnsiTheme="majorHAnsi"/>
        </w:rPr>
      </w:pPr>
      <w:r w:rsidRPr="00770A6F">
        <w:rPr>
          <w:rStyle w:val="EndnoteReference"/>
          <w:rFonts w:asciiTheme="majorHAnsi" w:hAnsiTheme="majorHAnsi"/>
        </w:rPr>
        <w:endnoteRef/>
      </w:r>
      <w:r>
        <w:rPr>
          <w:rFonts w:asciiTheme="majorHAnsi" w:hAnsiTheme="majorHAnsi"/>
        </w:rPr>
        <w:tab/>
      </w:r>
      <w:r w:rsidRPr="00770A6F">
        <w:rPr>
          <w:rFonts w:asciiTheme="majorHAnsi" w:hAnsiTheme="majorHAnsi"/>
        </w:rPr>
        <w:t>CP_</w:t>
      </w:r>
      <w:r>
        <w:rPr>
          <w:rFonts w:asciiTheme="majorHAnsi" w:hAnsiTheme="majorHAnsi"/>
        </w:rPr>
        <w:t>Brown_Bag_Announcements</w:t>
      </w:r>
      <w:r w:rsidRPr="00770A6F">
        <w:rPr>
          <w:rFonts w:asciiTheme="majorHAnsi" w:hAnsiTheme="majorHAnsi"/>
        </w:rPr>
        <w:t>.pdf</w:t>
      </w:r>
    </w:p>
  </w:endnote>
  <w:endnote w:id="32">
    <w:p w14:paraId="0703CDF0" w14:textId="6346AA96" w:rsidR="0077263C" w:rsidRPr="00770A6F" w:rsidRDefault="0077263C" w:rsidP="00B2112C">
      <w:pPr>
        <w:pStyle w:val="TableStyle"/>
        <w:tabs>
          <w:tab w:val="left" w:pos="540"/>
        </w:tabs>
        <w:ind w:left="360" w:hanging="360"/>
        <w:jc w:val="left"/>
        <w:rPr>
          <w:sz w:val="20"/>
          <w:szCs w:val="20"/>
        </w:rPr>
      </w:pPr>
      <w:r w:rsidRPr="00770A6F">
        <w:rPr>
          <w:rStyle w:val="EndnoteReference"/>
          <w:sz w:val="20"/>
          <w:szCs w:val="20"/>
        </w:rPr>
        <w:endnoteRef/>
      </w:r>
      <w:r>
        <w:rPr>
          <w:sz w:val="20"/>
          <w:szCs w:val="20"/>
        </w:rPr>
        <w:tab/>
      </w:r>
      <w:r w:rsidRPr="00770A6F">
        <w:rPr>
          <w:sz w:val="20"/>
          <w:szCs w:val="20"/>
        </w:rPr>
        <w:t>CP_BT_Minutes_6-7-16</w:t>
      </w:r>
      <w:r>
        <w:t>.pdf</w:t>
      </w:r>
    </w:p>
  </w:endnote>
  <w:endnote w:id="33">
    <w:p w14:paraId="23750230" w14:textId="3DA35ECF" w:rsidR="0077263C" w:rsidRPr="00AD2556" w:rsidRDefault="0077263C" w:rsidP="00B2112C">
      <w:pPr>
        <w:pStyle w:val="EndnoteText"/>
        <w:tabs>
          <w:tab w:val="left" w:pos="540"/>
        </w:tabs>
        <w:ind w:left="360" w:hanging="360"/>
        <w:rPr>
          <w:rFonts w:asciiTheme="majorHAnsi" w:hAnsiTheme="majorHAnsi"/>
          <w:sz w:val="22"/>
        </w:rPr>
      </w:pPr>
      <w:r w:rsidRPr="00770A6F">
        <w:rPr>
          <w:rStyle w:val="EndnoteReference"/>
          <w:rFonts w:asciiTheme="majorHAnsi" w:hAnsiTheme="majorHAnsi"/>
        </w:rPr>
        <w:endnoteRef/>
      </w:r>
      <w:r>
        <w:rPr>
          <w:rFonts w:asciiTheme="majorHAnsi" w:hAnsiTheme="majorHAnsi"/>
        </w:rPr>
        <w:tab/>
      </w:r>
      <w:r w:rsidRPr="00AD2556">
        <w:rPr>
          <w:rFonts w:asciiTheme="majorHAnsi" w:hAnsiTheme="majorHAnsi"/>
          <w:sz w:val="22"/>
        </w:rPr>
        <w:t>CP_www.smc.edu_AboutSMC_Accreditation_Pages_Accreditation.pdf</w:t>
      </w:r>
    </w:p>
  </w:endnote>
  <w:endnote w:id="34">
    <w:p w14:paraId="122C4C19" w14:textId="2A7E3FE1" w:rsidR="0077263C" w:rsidRPr="00A15AB0" w:rsidRDefault="0077263C" w:rsidP="00B2112C">
      <w:pPr>
        <w:pStyle w:val="EndnoteText"/>
        <w:tabs>
          <w:tab w:val="left" w:pos="540"/>
        </w:tabs>
        <w:ind w:left="360" w:hanging="360"/>
        <w:rPr>
          <w:rFonts w:asciiTheme="majorHAnsi" w:hAnsiTheme="majorHAnsi"/>
        </w:rPr>
      </w:pPr>
      <w:r w:rsidRPr="00A15AB0">
        <w:rPr>
          <w:rStyle w:val="EndnoteReference"/>
          <w:rFonts w:asciiTheme="majorHAnsi" w:hAnsiTheme="majorHAnsi"/>
        </w:rPr>
        <w:endnoteRef/>
      </w:r>
      <w:r>
        <w:rPr>
          <w:rFonts w:asciiTheme="majorHAnsi" w:hAnsiTheme="majorHAnsi"/>
        </w:rPr>
        <w:tab/>
      </w:r>
      <w:r w:rsidRPr="00A15AB0">
        <w:rPr>
          <w:rFonts w:asciiTheme="majorHAnsi" w:hAnsiTheme="majorHAnsi"/>
        </w:rPr>
        <w:t>CP_p27-28_College_Catalog_2015-16_Associate_Degree</w:t>
      </w:r>
      <w:r>
        <w:rPr>
          <w:rFonts w:asciiTheme="majorHAnsi" w:hAnsiTheme="majorHAnsi"/>
        </w:rPr>
        <w:tab/>
      </w:r>
      <w:r w:rsidRPr="00A15AB0">
        <w:rPr>
          <w:rFonts w:asciiTheme="majorHAnsi" w:hAnsiTheme="majorHAnsi"/>
        </w:rPr>
        <w:t>Requirements</w:t>
      </w:r>
      <w:r>
        <w:rPr>
          <w:rFonts w:asciiTheme="majorHAnsi" w:hAnsiTheme="majorHAnsi"/>
        </w:rPr>
        <w:t>.pdf</w:t>
      </w:r>
    </w:p>
  </w:endnote>
  <w:endnote w:id="35">
    <w:p w14:paraId="04685992" w14:textId="48655FE6" w:rsidR="0077263C" w:rsidRPr="0009738E" w:rsidRDefault="0077263C" w:rsidP="00B2112C">
      <w:pPr>
        <w:pStyle w:val="EndnoteText"/>
        <w:tabs>
          <w:tab w:val="left" w:pos="540"/>
        </w:tabs>
        <w:ind w:left="360" w:hanging="360"/>
        <w:rPr>
          <w:rFonts w:asciiTheme="majorHAnsi" w:hAnsiTheme="majorHAnsi"/>
        </w:rPr>
      </w:pPr>
      <w:r w:rsidRPr="0009738E">
        <w:rPr>
          <w:rStyle w:val="EndnoteReference"/>
          <w:rFonts w:asciiTheme="majorHAnsi" w:hAnsiTheme="majorHAnsi"/>
        </w:rPr>
        <w:endnoteRef/>
      </w:r>
      <w:r>
        <w:rPr>
          <w:rFonts w:asciiTheme="majorHAnsi" w:hAnsiTheme="majorHAnsi"/>
        </w:rPr>
        <w:tab/>
      </w:r>
      <w:r w:rsidRPr="0009738E">
        <w:rPr>
          <w:rFonts w:asciiTheme="majorHAnsi" w:hAnsiTheme="majorHAnsi"/>
        </w:rPr>
        <w:t>CP_Article_5300_AcademicStandards</w:t>
      </w:r>
      <w:r>
        <w:rPr>
          <w:rFonts w:asciiTheme="majorHAnsi" w:hAnsiTheme="majorHAnsi"/>
        </w:rPr>
        <w:t>.pdf</w:t>
      </w:r>
    </w:p>
  </w:endnote>
  <w:endnote w:id="36">
    <w:p w14:paraId="3240EBB0" w14:textId="741CC721" w:rsidR="0077263C" w:rsidRPr="0009738E" w:rsidRDefault="0077263C" w:rsidP="00B2112C">
      <w:pPr>
        <w:pStyle w:val="EndnoteText"/>
        <w:tabs>
          <w:tab w:val="left" w:pos="540"/>
        </w:tabs>
        <w:ind w:left="360" w:hanging="360"/>
        <w:rPr>
          <w:rFonts w:asciiTheme="majorHAnsi" w:hAnsiTheme="majorHAnsi"/>
        </w:rPr>
      </w:pPr>
      <w:r w:rsidRPr="0009738E">
        <w:rPr>
          <w:rStyle w:val="EndnoteReference"/>
          <w:rFonts w:asciiTheme="majorHAnsi" w:hAnsiTheme="majorHAnsi"/>
        </w:rPr>
        <w:endnoteRef/>
      </w:r>
      <w:r>
        <w:rPr>
          <w:rFonts w:asciiTheme="majorHAnsi" w:hAnsiTheme="majorHAnsi"/>
        </w:rPr>
        <w:tab/>
      </w:r>
      <w:r w:rsidRPr="0009738E">
        <w:rPr>
          <w:rFonts w:asciiTheme="majorHAnsi" w:hAnsiTheme="majorHAnsi"/>
        </w:rPr>
        <w:t>CP_Title5_Section55063_Min_Rqmts_for_Associates_Degree</w:t>
      </w:r>
      <w:r>
        <w:rPr>
          <w:rFonts w:asciiTheme="majorHAnsi" w:hAnsiTheme="majorHAnsi"/>
        </w:rPr>
        <w:t>.pdf</w:t>
      </w:r>
    </w:p>
  </w:endnote>
  <w:endnote w:id="37">
    <w:p w14:paraId="050ECFF4" w14:textId="5ED00F61" w:rsidR="0077263C" w:rsidRDefault="0077263C" w:rsidP="00B2112C">
      <w:pPr>
        <w:pStyle w:val="EndnoteText"/>
        <w:tabs>
          <w:tab w:val="left" w:pos="540"/>
        </w:tabs>
        <w:ind w:left="360" w:hanging="360"/>
      </w:pPr>
      <w:r w:rsidRPr="00A15AB0">
        <w:rPr>
          <w:rStyle w:val="EndnoteReference"/>
          <w:rFonts w:asciiTheme="majorHAnsi" w:hAnsiTheme="majorHAnsi"/>
        </w:rPr>
        <w:endnoteRef/>
      </w:r>
      <w:r>
        <w:rPr>
          <w:rFonts w:asciiTheme="majorHAnsi" w:hAnsiTheme="majorHAnsi"/>
        </w:rPr>
        <w:tab/>
      </w:r>
      <w:r w:rsidRPr="00891EDA">
        <w:rPr>
          <w:color w:val="000000"/>
        </w:rPr>
        <w:t>CP_CCCCO_Hours_and_Units_Calculations_for_Credit_Courses_10-5-15.pdf</w:t>
      </w:r>
    </w:p>
  </w:endnote>
  <w:endnote w:id="38">
    <w:p w14:paraId="46C48A07" w14:textId="0F102F42" w:rsidR="0077263C" w:rsidRPr="00345EDB" w:rsidRDefault="0077263C" w:rsidP="00B2112C">
      <w:pPr>
        <w:pStyle w:val="EndnoteText"/>
        <w:tabs>
          <w:tab w:val="left" w:pos="540"/>
        </w:tabs>
        <w:ind w:left="360" w:hanging="360"/>
        <w:rPr>
          <w:rFonts w:asciiTheme="majorHAnsi" w:hAnsiTheme="majorHAnsi"/>
        </w:rPr>
      </w:pPr>
      <w:r w:rsidRPr="00345EDB">
        <w:rPr>
          <w:rStyle w:val="EndnoteReference"/>
          <w:rFonts w:asciiTheme="majorHAnsi" w:hAnsiTheme="majorHAnsi"/>
        </w:rPr>
        <w:endnoteRef/>
      </w:r>
      <w:r>
        <w:rPr>
          <w:rFonts w:asciiTheme="majorHAnsi" w:hAnsiTheme="majorHAnsi"/>
        </w:rPr>
        <w:tab/>
      </w:r>
      <w:r w:rsidRPr="00345EDB">
        <w:rPr>
          <w:rFonts w:asciiTheme="majorHAnsi" w:hAnsiTheme="majorHAnsi"/>
        </w:rPr>
        <w:t>CP_2016_Dashboard_Final</w:t>
      </w:r>
      <w:r>
        <w:rPr>
          <w:rFonts w:asciiTheme="majorHAnsi" w:hAnsiTheme="majorHAnsi"/>
        </w:rPr>
        <w:t>.pdf</w:t>
      </w:r>
    </w:p>
  </w:endnote>
  <w:endnote w:id="39">
    <w:p w14:paraId="13C0CF5D" w14:textId="7AF1AA99" w:rsidR="0077263C" w:rsidRPr="00FD5239" w:rsidRDefault="0077263C" w:rsidP="00B2112C">
      <w:pPr>
        <w:pStyle w:val="EndnoteText"/>
        <w:tabs>
          <w:tab w:val="left" w:pos="540"/>
        </w:tabs>
        <w:ind w:left="360" w:hanging="360"/>
        <w:rPr>
          <w:rFonts w:asciiTheme="majorHAnsi" w:hAnsiTheme="majorHAnsi"/>
        </w:rPr>
      </w:pPr>
      <w:r w:rsidRPr="00FD5239">
        <w:rPr>
          <w:rStyle w:val="EndnoteReference"/>
          <w:rFonts w:asciiTheme="majorHAnsi" w:hAnsiTheme="majorHAnsi"/>
        </w:rPr>
        <w:endnoteRef/>
      </w:r>
      <w:r>
        <w:rPr>
          <w:rFonts w:asciiTheme="majorHAnsi" w:hAnsiTheme="majorHAnsi"/>
        </w:rPr>
        <w:tab/>
      </w:r>
      <w:r w:rsidRPr="00FD5239">
        <w:rPr>
          <w:rFonts w:asciiTheme="majorHAnsi" w:hAnsiTheme="majorHAnsi"/>
        </w:rPr>
        <w:t>CP_Institution-Set-or-Minimum-Set-Standards_FAQ</w:t>
      </w:r>
      <w:r>
        <w:rPr>
          <w:rFonts w:asciiTheme="majorHAnsi" w:hAnsiTheme="majorHAnsi"/>
        </w:rPr>
        <w:t>.pdf</w:t>
      </w:r>
    </w:p>
  </w:endnote>
  <w:endnote w:id="40">
    <w:p w14:paraId="5D703425" w14:textId="242AB58E" w:rsidR="0077263C" w:rsidRDefault="0077263C" w:rsidP="00B2112C">
      <w:pPr>
        <w:pStyle w:val="EndnoteText"/>
        <w:tabs>
          <w:tab w:val="left" w:pos="540"/>
        </w:tabs>
        <w:ind w:left="360" w:hanging="360"/>
      </w:pPr>
      <w:r w:rsidRPr="00FD5239">
        <w:rPr>
          <w:rStyle w:val="EndnoteReference"/>
          <w:rFonts w:asciiTheme="majorHAnsi" w:hAnsiTheme="majorHAnsi"/>
        </w:rPr>
        <w:endnoteRef/>
      </w:r>
      <w:r>
        <w:rPr>
          <w:rFonts w:asciiTheme="majorHAnsi" w:hAnsiTheme="majorHAnsi"/>
        </w:rPr>
        <w:tab/>
      </w:r>
      <w:r w:rsidRPr="00FD5239">
        <w:rPr>
          <w:rFonts w:asciiTheme="majorHAnsi" w:hAnsiTheme="majorHAnsi"/>
        </w:rPr>
        <w:t>CP_Institution-Set_Standards_Academic_Programs</w:t>
      </w:r>
      <w:r>
        <w:rPr>
          <w:rFonts w:asciiTheme="majorHAnsi" w:hAnsiTheme="majorHAnsi"/>
        </w:rPr>
        <w:t>.pdf</w:t>
      </w:r>
    </w:p>
  </w:endnote>
  <w:endnote w:id="41">
    <w:p w14:paraId="191393D1" w14:textId="1583D9BC" w:rsidR="0077263C" w:rsidRPr="001F37D8" w:rsidRDefault="0077263C" w:rsidP="00B2112C">
      <w:pPr>
        <w:pStyle w:val="EndnoteText"/>
        <w:tabs>
          <w:tab w:val="left" w:pos="540"/>
        </w:tabs>
        <w:ind w:left="360" w:hanging="360"/>
        <w:rPr>
          <w:rFonts w:asciiTheme="majorHAnsi" w:hAnsiTheme="majorHAnsi"/>
        </w:rPr>
      </w:pPr>
      <w:r w:rsidRPr="001F37D8">
        <w:rPr>
          <w:rStyle w:val="EndnoteReference"/>
          <w:rFonts w:asciiTheme="majorHAnsi" w:hAnsiTheme="majorHAnsi"/>
        </w:rPr>
        <w:endnoteRef/>
      </w:r>
      <w:r>
        <w:rPr>
          <w:rFonts w:asciiTheme="majorHAnsi" w:hAnsiTheme="majorHAnsi"/>
        </w:rPr>
        <w:tab/>
      </w:r>
      <w:r w:rsidRPr="001F37D8">
        <w:rPr>
          <w:rFonts w:asciiTheme="majorHAnsi" w:hAnsiTheme="majorHAnsi"/>
        </w:rPr>
        <w:t>CP_MPE_2014-2015</w:t>
      </w:r>
      <w:r>
        <w:rPr>
          <w:rFonts w:asciiTheme="majorHAnsi" w:hAnsiTheme="majorHAnsi"/>
        </w:rPr>
        <w:t>.pdf</w:t>
      </w:r>
    </w:p>
  </w:endnote>
  <w:endnote w:id="42">
    <w:p w14:paraId="0B6D9FC4" w14:textId="07CA5558" w:rsidR="0077263C" w:rsidRPr="001F37D8" w:rsidRDefault="0077263C" w:rsidP="00B2112C">
      <w:pPr>
        <w:pStyle w:val="EndnoteText"/>
        <w:tabs>
          <w:tab w:val="left" w:pos="540"/>
        </w:tabs>
        <w:ind w:left="360" w:hanging="360"/>
        <w:rPr>
          <w:rFonts w:asciiTheme="majorHAnsi" w:hAnsiTheme="majorHAnsi"/>
        </w:rPr>
      </w:pPr>
      <w:r w:rsidRPr="001F37D8">
        <w:rPr>
          <w:rStyle w:val="EndnoteReference"/>
          <w:rFonts w:asciiTheme="majorHAnsi" w:hAnsiTheme="majorHAnsi"/>
        </w:rPr>
        <w:endnoteRef/>
      </w:r>
      <w:r>
        <w:rPr>
          <w:rFonts w:asciiTheme="majorHAnsi" w:hAnsiTheme="majorHAnsi"/>
        </w:rPr>
        <w:tab/>
      </w:r>
      <w:r w:rsidRPr="001F37D8">
        <w:rPr>
          <w:rFonts w:asciiTheme="majorHAnsi" w:hAnsiTheme="majorHAnsi"/>
        </w:rPr>
        <w:t>CP_MPE_201</w:t>
      </w:r>
      <w:r>
        <w:rPr>
          <w:rFonts w:asciiTheme="majorHAnsi" w:hAnsiTheme="majorHAnsi"/>
        </w:rPr>
        <w:t>5</w:t>
      </w:r>
      <w:r w:rsidRPr="001F37D8">
        <w:rPr>
          <w:rFonts w:asciiTheme="majorHAnsi" w:hAnsiTheme="majorHAnsi"/>
        </w:rPr>
        <w:t>-201</w:t>
      </w:r>
      <w:r>
        <w:rPr>
          <w:rFonts w:asciiTheme="majorHAnsi" w:hAnsiTheme="majorHAnsi"/>
        </w:rPr>
        <w:t>6.pdf</w:t>
      </w:r>
    </w:p>
  </w:endnote>
  <w:endnote w:id="43">
    <w:p w14:paraId="452FBB1C" w14:textId="30F6D224" w:rsidR="0077263C" w:rsidRPr="00BC6B74" w:rsidRDefault="0077263C" w:rsidP="00B2112C">
      <w:pPr>
        <w:pStyle w:val="EndnoteText"/>
        <w:tabs>
          <w:tab w:val="left" w:pos="540"/>
        </w:tabs>
        <w:ind w:left="360" w:hanging="360"/>
        <w:rPr>
          <w:rFonts w:asciiTheme="majorHAnsi" w:hAnsiTheme="majorHAnsi"/>
        </w:rPr>
      </w:pPr>
      <w:r w:rsidRPr="00BC6B74">
        <w:rPr>
          <w:rStyle w:val="EndnoteReference"/>
          <w:rFonts w:asciiTheme="majorHAnsi" w:hAnsiTheme="majorHAnsi"/>
        </w:rPr>
        <w:endnoteRef/>
      </w:r>
      <w:r>
        <w:rPr>
          <w:rFonts w:asciiTheme="majorHAnsi" w:hAnsiTheme="majorHAnsi"/>
        </w:rPr>
        <w:tab/>
      </w:r>
      <w:r w:rsidRPr="00BC6B74">
        <w:rPr>
          <w:rFonts w:asciiTheme="majorHAnsi" w:hAnsiTheme="majorHAnsi"/>
        </w:rPr>
        <w:t>CP_p21-22_College_Catalog_2015-16_Fees&amp;Tuition</w:t>
      </w:r>
      <w:r>
        <w:rPr>
          <w:rFonts w:asciiTheme="majorHAnsi" w:hAnsiTheme="majorHAnsi"/>
        </w:rPr>
        <w:t>.pdf</w:t>
      </w:r>
    </w:p>
  </w:endnote>
  <w:endnote w:id="44">
    <w:p w14:paraId="545D2C93" w14:textId="07E87849" w:rsidR="0077263C" w:rsidRPr="00BC6B74" w:rsidRDefault="0077263C" w:rsidP="00B2112C">
      <w:pPr>
        <w:pStyle w:val="EndnoteText"/>
        <w:tabs>
          <w:tab w:val="left" w:pos="540"/>
        </w:tabs>
        <w:ind w:left="360" w:hanging="360"/>
        <w:rPr>
          <w:rFonts w:asciiTheme="majorHAnsi" w:hAnsiTheme="majorHAnsi"/>
        </w:rPr>
      </w:pPr>
      <w:r w:rsidRPr="00BC6B74">
        <w:rPr>
          <w:rStyle w:val="EndnoteReference"/>
          <w:rFonts w:asciiTheme="majorHAnsi" w:hAnsiTheme="majorHAnsi"/>
        </w:rPr>
        <w:endnoteRef/>
      </w:r>
      <w:r>
        <w:rPr>
          <w:rFonts w:asciiTheme="majorHAnsi" w:hAnsiTheme="majorHAnsi"/>
        </w:rPr>
        <w:tab/>
      </w:r>
      <w:r w:rsidRPr="00BC6B74">
        <w:rPr>
          <w:rFonts w:asciiTheme="majorHAnsi" w:hAnsiTheme="majorHAnsi"/>
        </w:rPr>
        <w:t>CP_AR_4111.5_&amp;_4111.6_Transfer_Credit</w:t>
      </w:r>
      <w:r>
        <w:rPr>
          <w:rFonts w:asciiTheme="majorHAnsi" w:hAnsiTheme="majorHAnsi"/>
        </w:rPr>
        <w:t>.pdf</w:t>
      </w:r>
    </w:p>
  </w:endnote>
  <w:endnote w:id="45">
    <w:p w14:paraId="635ED105" w14:textId="7C5B4DC0" w:rsidR="0077263C" w:rsidRPr="00BC6B74" w:rsidRDefault="0077263C" w:rsidP="00B2112C">
      <w:pPr>
        <w:pStyle w:val="EndnoteText"/>
        <w:tabs>
          <w:tab w:val="left" w:pos="540"/>
        </w:tabs>
        <w:ind w:left="360" w:hanging="360"/>
        <w:rPr>
          <w:rFonts w:asciiTheme="majorHAnsi" w:hAnsiTheme="majorHAnsi"/>
        </w:rPr>
      </w:pPr>
      <w:r w:rsidRPr="00BC6B74">
        <w:rPr>
          <w:rStyle w:val="EndnoteReference"/>
          <w:rFonts w:asciiTheme="majorHAnsi" w:hAnsiTheme="majorHAnsi"/>
        </w:rPr>
        <w:endnoteRef/>
      </w:r>
      <w:r>
        <w:rPr>
          <w:rFonts w:asciiTheme="majorHAnsi" w:hAnsiTheme="majorHAnsi"/>
        </w:rPr>
        <w:tab/>
      </w:r>
      <w:r w:rsidRPr="00BC6B74">
        <w:rPr>
          <w:rFonts w:asciiTheme="majorHAnsi" w:hAnsiTheme="majorHAnsi"/>
        </w:rPr>
        <w:t>CP_p24-25_College_Catalog_2015-16_Transferring_from_SMC</w:t>
      </w:r>
      <w:r>
        <w:rPr>
          <w:rFonts w:asciiTheme="majorHAnsi" w:hAnsiTheme="majorHAnsi"/>
        </w:rPr>
        <w:t>.pdf</w:t>
      </w:r>
    </w:p>
  </w:endnote>
  <w:endnote w:id="46">
    <w:p w14:paraId="0579B432" w14:textId="55C2B8A8" w:rsidR="0077263C" w:rsidRPr="00BC6B74" w:rsidRDefault="0077263C" w:rsidP="00B2112C">
      <w:pPr>
        <w:pStyle w:val="EndnoteText"/>
        <w:tabs>
          <w:tab w:val="left" w:pos="540"/>
        </w:tabs>
        <w:ind w:left="360" w:hanging="360"/>
        <w:rPr>
          <w:rFonts w:asciiTheme="majorHAnsi" w:hAnsiTheme="majorHAnsi"/>
          <w:sz w:val="16"/>
        </w:rPr>
      </w:pPr>
      <w:r w:rsidRPr="00BC6B74">
        <w:rPr>
          <w:rStyle w:val="EndnoteReference"/>
          <w:rFonts w:asciiTheme="majorHAnsi" w:hAnsiTheme="majorHAnsi"/>
        </w:rPr>
        <w:endnoteRef/>
      </w:r>
      <w:r>
        <w:rPr>
          <w:rFonts w:asciiTheme="majorHAnsi" w:hAnsiTheme="majorHAnsi"/>
        </w:rPr>
        <w:tab/>
      </w:r>
      <w:r w:rsidRPr="00BC6B74">
        <w:rPr>
          <w:rFonts w:asciiTheme="majorHAnsi" w:hAnsiTheme="majorHAnsi"/>
        </w:rPr>
        <w:t>CP_Screenshot_Transfer_Center</w:t>
      </w:r>
      <w:r>
        <w:rPr>
          <w:rFonts w:asciiTheme="majorHAnsi" w:hAnsiTheme="majorHAnsi"/>
        </w:rPr>
        <w:t>.pdf</w:t>
      </w:r>
    </w:p>
  </w:endnote>
  <w:endnote w:id="47">
    <w:p w14:paraId="28952DF6" w14:textId="2A32F341" w:rsidR="0077263C" w:rsidRDefault="0077263C" w:rsidP="00B2112C">
      <w:pPr>
        <w:pStyle w:val="EndnoteText"/>
        <w:tabs>
          <w:tab w:val="left" w:pos="540"/>
        </w:tabs>
        <w:ind w:left="360" w:hanging="360"/>
      </w:pPr>
      <w:r w:rsidRPr="00246BAF">
        <w:rPr>
          <w:rStyle w:val="EndnoteReference"/>
          <w:rFonts w:asciiTheme="majorHAnsi" w:hAnsiTheme="majorHAnsi"/>
        </w:rPr>
        <w:endnoteRef/>
      </w:r>
      <w:r>
        <w:rPr>
          <w:rFonts w:asciiTheme="majorHAnsi" w:hAnsiTheme="majorHAnsi"/>
        </w:rPr>
        <w:tab/>
      </w:r>
      <w:r w:rsidRPr="00246BAF">
        <w:rPr>
          <w:rFonts w:asciiTheme="majorHAnsi" w:hAnsiTheme="majorHAnsi"/>
        </w:rPr>
        <w:t>CP_p29-36_College_Catalog_2015-16_Transfer_Credit</w:t>
      </w:r>
      <w:r>
        <w:rPr>
          <w:rFonts w:asciiTheme="majorHAnsi" w:hAnsiTheme="majorHAnsi"/>
        </w:rPr>
        <w:t>.pdf</w:t>
      </w:r>
    </w:p>
  </w:endnote>
  <w:endnote w:id="48">
    <w:p w14:paraId="470A520A" w14:textId="7FAABF81" w:rsidR="0077263C" w:rsidRPr="001F37D8" w:rsidRDefault="0077263C" w:rsidP="00B2112C">
      <w:pPr>
        <w:pStyle w:val="EndnoteText"/>
        <w:tabs>
          <w:tab w:val="left" w:pos="540"/>
        </w:tabs>
        <w:ind w:left="360" w:hanging="360"/>
        <w:rPr>
          <w:rFonts w:asciiTheme="majorHAnsi" w:hAnsiTheme="majorHAnsi"/>
        </w:rPr>
      </w:pPr>
      <w:r w:rsidRPr="001F37D8">
        <w:rPr>
          <w:rStyle w:val="EndnoteReference"/>
          <w:rFonts w:asciiTheme="majorHAnsi" w:hAnsiTheme="majorHAnsi"/>
        </w:rPr>
        <w:endnoteRef/>
      </w:r>
      <w:r>
        <w:rPr>
          <w:rFonts w:asciiTheme="majorHAnsi" w:hAnsiTheme="majorHAnsi"/>
        </w:rPr>
        <w:tab/>
      </w:r>
      <w:r w:rsidRPr="001F37D8">
        <w:rPr>
          <w:rFonts w:asciiTheme="majorHAnsi" w:hAnsiTheme="majorHAnsi"/>
        </w:rPr>
        <w:t>CP_Screenshot_Representation_of_Accreditation_Status</w:t>
      </w:r>
      <w:r>
        <w:rPr>
          <w:rFonts w:asciiTheme="majorHAnsi" w:hAnsiTheme="majorHAnsi"/>
        </w:rPr>
        <w:t>.pdf</w:t>
      </w:r>
    </w:p>
  </w:endnote>
  <w:endnote w:id="49">
    <w:p w14:paraId="767C54FA" w14:textId="5481AF39" w:rsidR="0077263C" w:rsidRDefault="0077263C" w:rsidP="00B2112C">
      <w:pPr>
        <w:pStyle w:val="EndnoteText"/>
        <w:tabs>
          <w:tab w:val="left" w:pos="540"/>
        </w:tabs>
        <w:ind w:left="360" w:hanging="360"/>
      </w:pPr>
      <w:r w:rsidRPr="001F37D8">
        <w:rPr>
          <w:rStyle w:val="EndnoteReference"/>
          <w:rFonts w:asciiTheme="majorHAnsi" w:hAnsiTheme="majorHAnsi"/>
        </w:rPr>
        <w:endnoteRef/>
      </w:r>
      <w:r>
        <w:rPr>
          <w:rFonts w:asciiTheme="majorHAnsi" w:hAnsiTheme="majorHAnsi"/>
        </w:rPr>
        <w:tab/>
      </w:r>
      <w:r w:rsidRPr="001F37D8">
        <w:rPr>
          <w:rFonts w:asciiTheme="majorHAnsi" w:hAnsiTheme="majorHAnsi"/>
        </w:rPr>
        <w:t>CP_2015-16_College_Catalog_Accreditation_Notice</w:t>
      </w:r>
      <w:r>
        <w:rPr>
          <w:rFonts w:asciiTheme="majorHAnsi" w:hAnsiTheme="majorHAnsi"/>
        </w:rPr>
        <w:t>.pdf</w:t>
      </w:r>
    </w:p>
  </w:endnote>
  <w:endnote w:id="50">
    <w:p w14:paraId="0A075F29" w14:textId="0E2C0530" w:rsidR="0077263C" w:rsidRPr="00BC6B74" w:rsidRDefault="0077263C" w:rsidP="00B2112C">
      <w:pPr>
        <w:pStyle w:val="EndnoteText"/>
        <w:tabs>
          <w:tab w:val="left" w:pos="540"/>
        </w:tabs>
        <w:ind w:left="360" w:hanging="360"/>
        <w:rPr>
          <w:rFonts w:asciiTheme="majorHAnsi" w:hAnsiTheme="majorHAnsi"/>
        </w:rPr>
      </w:pPr>
      <w:r w:rsidRPr="00BC6B74">
        <w:rPr>
          <w:rStyle w:val="EndnoteReference"/>
          <w:rFonts w:asciiTheme="majorHAnsi" w:hAnsiTheme="majorHAnsi"/>
        </w:rPr>
        <w:endnoteRef/>
      </w:r>
      <w:r>
        <w:rPr>
          <w:rFonts w:asciiTheme="majorHAnsi" w:hAnsiTheme="majorHAnsi"/>
        </w:rPr>
        <w:tab/>
      </w:r>
      <w:r w:rsidRPr="00BC6B74">
        <w:rPr>
          <w:rFonts w:asciiTheme="majorHAnsi" w:hAnsiTheme="majorHAnsi"/>
        </w:rPr>
        <w:t>CP_p8_College</w:t>
      </w:r>
      <w:r>
        <w:rPr>
          <w:rFonts w:asciiTheme="majorHAnsi" w:hAnsiTheme="majorHAnsi"/>
        </w:rPr>
        <w:t>_</w:t>
      </w:r>
      <w:r w:rsidRPr="00BC6B74">
        <w:rPr>
          <w:rFonts w:asciiTheme="majorHAnsi" w:hAnsiTheme="majorHAnsi"/>
        </w:rPr>
        <w:t>Catalog_2015-16_EEO&amp;Nondiscrimination_Policy_Violations</w:t>
      </w:r>
      <w:r>
        <w:rPr>
          <w:rFonts w:asciiTheme="majorHAnsi" w:hAnsiTheme="majorHAnsi"/>
        </w:rPr>
        <w:t>.pdf</w:t>
      </w:r>
    </w:p>
  </w:endnote>
  <w:endnote w:id="51">
    <w:p w14:paraId="29E93508" w14:textId="49CFAFFE" w:rsidR="0077263C" w:rsidRPr="00BC6B74" w:rsidRDefault="0077263C" w:rsidP="00B2112C">
      <w:pPr>
        <w:pStyle w:val="EndnoteText"/>
        <w:tabs>
          <w:tab w:val="left" w:pos="540"/>
        </w:tabs>
        <w:ind w:left="360" w:hanging="360"/>
        <w:rPr>
          <w:rFonts w:asciiTheme="majorHAnsi" w:hAnsiTheme="majorHAnsi"/>
        </w:rPr>
      </w:pPr>
      <w:r w:rsidRPr="00BC6B74">
        <w:rPr>
          <w:rStyle w:val="EndnoteReference"/>
          <w:rFonts w:asciiTheme="majorHAnsi" w:hAnsiTheme="majorHAnsi"/>
        </w:rPr>
        <w:endnoteRef/>
      </w:r>
      <w:r>
        <w:rPr>
          <w:rFonts w:asciiTheme="majorHAnsi" w:hAnsiTheme="majorHAnsi"/>
        </w:rPr>
        <w:tab/>
      </w:r>
      <w:r w:rsidRPr="00BC6B74">
        <w:rPr>
          <w:rFonts w:asciiTheme="majorHAnsi" w:hAnsiTheme="majorHAnsi"/>
        </w:rPr>
        <w:t>CP_p384-385_College</w:t>
      </w:r>
      <w:r>
        <w:rPr>
          <w:rFonts w:asciiTheme="majorHAnsi" w:hAnsiTheme="majorHAnsi"/>
        </w:rPr>
        <w:tab/>
      </w:r>
      <w:r w:rsidRPr="00BC6B74">
        <w:rPr>
          <w:rFonts w:asciiTheme="majorHAnsi" w:hAnsiTheme="majorHAnsi"/>
        </w:rPr>
        <w:t>Catalog_2015-16_MatriculationComplaintsAndAppeals</w:t>
      </w:r>
      <w:r>
        <w:rPr>
          <w:rFonts w:asciiTheme="majorHAnsi" w:hAnsiTheme="majorHAnsi"/>
        </w:rPr>
        <w:t>.pdf</w:t>
      </w:r>
    </w:p>
  </w:endnote>
  <w:endnote w:id="52">
    <w:p w14:paraId="5096132E" w14:textId="3F9F8DE6" w:rsidR="0077263C" w:rsidRPr="001B2B08" w:rsidRDefault="0077263C" w:rsidP="00B2112C">
      <w:pPr>
        <w:pStyle w:val="EndnoteText"/>
        <w:tabs>
          <w:tab w:val="left" w:pos="540"/>
        </w:tabs>
        <w:ind w:left="360" w:hanging="360"/>
        <w:rPr>
          <w:rFonts w:asciiTheme="majorHAnsi" w:hAnsiTheme="majorHAnsi"/>
        </w:rPr>
      </w:pPr>
      <w:r w:rsidRPr="001B2B08">
        <w:rPr>
          <w:rStyle w:val="EndnoteReference"/>
          <w:rFonts w:asciiTheme="majorHAnsi" w:hAnsiTheme="majorHAnsi"/>
        </w:rPr>
        <w:endnoteRef/>
      </w:r>
      <w:r>
        <w:rPr>
          <w:rFonts w:asciiTheme="majorHAnsi" w:hAnsiTheme="majorHAnsi"/>
        </w:rPr>
        <w:tab/>
      </w:r>
      <w:r w:rsidRPr="001B2B08">
        <w:rPr>
          <w:rFonts w:asciiTheme="majorHAnsi" w:hAnsiTheme="majorHAnsi"/>
        </w:rPr>
        <w:t>CP_p159_College_Catalog_2015-16_Nursing_Pgm_Accrediting_Agencies</w:t>
      </w:r>
      <w:r>
        <w:rPr>
          <w:rFonts w:asciiTheme="majorHAnsi" w:hAnsiTheme="majorHAnsi"/>
        </w:rPr>
        <w:t>.pdf</w:t>
      </w:r>
    </w:p>
  </w:endnote>
  <w:endnote w:id="53">
    <w:p w14:paraId="43EF1D7C" w14:textId="6713763C" w:rsidR="0077263C" w:rsidRPr="001B2B08" w:rsidRDefault="0077263C" w:rsidP="00B2112C">
      <w:pPr>
        <w:pStyle w:val="EndnoteText"/>
        <w:tabs>
          <w:tab w:val="left" w:pos="540"/>
        </w:tabs>
        <w:ind w:left="360" w:hanging="360"/>
        <w:rPr>
          <w:rFonts w:asciiTheme="majorHAnsi" w:hAnsiTheme="majorHAnsi"/>
        </w:rPr>
      </w:pPr>
      <w:r w:rsidRPr="001B2B08">
        <w:rPr>
          <w:rStyle w:val="EndnoteReference"/>
          <w:rFonts w:asciiTheme="majorHAnsi" w:hAnsiTheme="majorHAnsi"/>
        </w:rPr>
        <w:endnoteRef/>
      </w:r>
      <w:r>
        <w:rPr>
          <w:rFonts w:asciiTheme="majorHAnsi" w:hAnsiTheme="majorHAnsi"/>
        </w:rPr>
        <w:tab/>
      </w:r>
      <w:r w:rsidRPr="001B2B08">
        <w:rPr>
          <w:rFonts w:asciiTheme="majorHAnsi" w:hAnsiTheme="majorHAnsi"/>
        </w:rPr>
        <w:t>CP_p176_College_Catalog_2015-16_RespiratoryTherapy_Pgm_Accrediting_Agency</w:t>
      </w:r>
      <w:r>
        <w:rPr>
          <w:rFonts w:asciiTheme="majorHAnsi" w:hAnsiTheme="majorHAnsi"/>
        </w:rPr>
        <w:t>.pdf</w:t>
      </w:r>
    </w:p>
  </w:endnote>
  <w:endnote w:id="54">
    <w:p w14:paraId="45828971" w14:textId="70ABD926" w:rsidR="0077263C" w:rsidRPr="001B2B08" w:rsidRDefault="0077263C" w:rsidP="00B2112C">
      <w:pPr>
        <w:pStyle w:val="EndnoteText"/>
        <w:tabs>
          <w:tab w:val="left" w:pos="540"/>
        </w:tabs>
        <w:ind w:left="360" w:hanging="360"/>
        <w:rPr>
          <w:rFonts w:asciiTheme="majorHAnsi" w:hAnsiTheme="majorHAnsi"/>
        </w:rPr>
      </w:pPr>
      <w:r w:rsidRPr="001B2B08">
        <w:rPr>
          <w:rStyle w:val="EndnoteReference"/>
          <w:rFonts w:asciiTheme="majorHAnsi" w:hAnsiTheme="majorHAnsi"/>
        </w:rPr>
        <w:endnoteRef/>
      </w:r>
      <w:r>
        <w:rPr>
          <w:rFonts w:asciiTheme="majorHAnsi" w:hAnsiTheme="majorHAnsi"/>
        </w:rPr>
        <w:tab/>
      </w:r>
      <w:r w:rsidRPr="001B2B08">
        <w:rPr>
          <w:rFonts w:asciiTheme="majorHAnsi" w:hAnsiTheme="majorHAnsi"/>
        </w:rPr>
        <w:t>CP_Screenshot_Nursing_Accrediting_Agencies</w:t>
      </w:r>
      <w:r>
        <w:rPr>
          <w:rFonts w:asciiTheme="majorHAnsi" w:hAnsiTheme="majorHAnsi"/>
        </w:rPr>
        <w:t>.pdf</w:t>
      </w:r>
    </w:p>
  </w:endnote>
  <w:endnote w:id="55">
    <w:p w14:paraId="6C88F0B9" w14:textId="0BB68297" w:rsidR="0077263C" w:rsidRDefault="0077263C" w:rsidP="00B2112C">
      <w:pPr>
        <w:pStyle w:val="EndnoteText"/>
        <w:tabs>
          <w:tab w:val="left" w:pos="540"/>
        </w:tabs>
        <w:ind w:left="360" w:hanging="360"/>
      </w:pPr>
      <w:r w:rsidRPr="001B2B08">
        <w:rPr>
          <w:rStyle w:val="EndnoteReference"/>
          <w:rFonts w:asciiTheme="majorHAnsi" w:hAnsiTheme="majorHAnsi"/>
        </w:rPr>
        <w:endnoteRef/>
      </w:r>
      <w:r>
        <w:rPr>
          <w:rFonts w:asciiTheme="majorHAnsi" w:hAnsiTheme="majorHAnsi"/>
        </w:rPr>
        <w:tab/>
      </w:r>
      <w:r w:rsidRPr="001B2B08">
        <w:rPr>
          <w:rFonts w:asciiTheme="majorHAnsi" w:hAnsiTheme="majorHAnsi"/>
        </w:rPr>
        <w:t>CP_Screenshot_RespTherapy_Accrediting_Agenc</w:t>
      </w:r>
      <w:r>
        <w:rPr>
          <w:rFonts w:asciiTheme="majorHAnsi" w:hAnsiTheme="majorHAnsi"/>
        </w:rPr>
        <w:t>y.pdf</w:t>
      </w:r>
    </w:p>
  </w:endnote>
  <w:endnote w:id="56">
    <w:p w14:paraId="7088C2B1" w14:textId="73BC9107" w:rsidR="0077263C" w:rsidRPr="009D7D09" w:rsidRDefault="0077263C" w:rsidP="00B2112C">
      <w:pPr>
        <w:pStyle w:val="EndnoteText"/>
        <w:tabs>
          <w:tab w:val="left" w:pos="540"/>
        </w:tabs>
        <w:ind w:left="360" w:hanging="360"/>
        <w:rPr>
          <w:rFonts w:asciiTheme="majorHAnsi" w:hAnsiTheme="majorHAnsi"/>
        </w:rPr>
      </w:pPr>
      <w:r w:rsidRPr="009D7D09">
        <w:rPr>
          <w:rStyle w:val="EndnoteReference"/>
          <w:rFonts w:asciiTheme="majorHAnsi" w:hAnsiTheme="majorHAnsi"/>
        </w:rPr>
        <w:endnoteRef/>
      </w:r>
      <w:r>
        <w:rPr>
          <w:rFonts w:asciiTheme="majorHAnsi" w:hAnsiTheme="majorHAnsi"/>
        </w:rPr>
        <w:tab/>
      </w:r>
      <w:r w:rsidRPr="009D7D09">
        <w:rPr>
          <w:rFonts w:asciiTheme="majorHAnsi" w:hAnsiTheme="majorHAnsi"/>
        </w:rPr>
        <w:t>CP_Screenshot_CosmetologyDepartment_Board_of_Barbaring&amp;Cosmetology_Link</w:t>
      </w:r>
      <w:r>
        <w:rPr>
          <w:rFonts w:asciiTheme="majorHAnsi" w:hAnsiTheme="majorHAnsi"/>
        </w:rPr>
        <w:t>.pdf</w:t>
      </w:r>
    </w:p>
  </w:endnote>
  <w:endnote w:id="57">
    <w:p w14:paraId="2F812D11" w14:textId="24149FE6" w:rsidR="0077263C" w:rsidRDefault="0077263C" w:rsidP="00B2112C">
      <w:pPr>
        <w:pStyle w:val="EndnoteText"/>
        <w:tabs>
          <w:tab w:val="left" w:pos="540"/>
        </w:tabs>
        <w:ind w:left="360" w:hanging="360"/>
      </w:pPr>
      <w:r w:rsidRPr="009D7D09">
        <w:rPr>
          <w:rStyle w:val="EndnoteReference"/>
          <w:rFonts w:asciiTheme="majorHAnsi" w:hAnsiTheme="majorHAnsi"/>
        </w:rPr>
        <w:endnoteRef/>
      </w:r>
      <w:r>
        <w:rPr>
          <w:rFonts w:asciiTheme="majorHAnsi" w:hAnsiTheme="majorHAnsi"/>
        </w:rPr>
        <w:tab/>
      </w:r>
      <w:r w:rsidRPr="009D7D09">
        <w:rPr>
          <w:rFonts w:asciiTheme="majorHAnsi" w:hAnsiTheme="majorHAnsi"/>
        </w:rPr>
        <w:t>CP_Screenshot_Athletics_Webpage_CCCAA_link</w:t>
      </w:r>
      <w:r>
        <w:rPr>
          <w:rFonts w:asciiTheme="majorHAnsi" w:hAnsiTheme="majorHAnsi"/>
        </w:rPr>
        <w:t>.pdf</w:t>
      </w:r>
    </w:p>
  </w:endnote>
  <w:endnote w:id="58">
    <w:p w14:paraId="4B325F75" w14:textId="572FAD0E" w:rsidR="0077263C" w:rsidRPr="00D126DA" w:rsidRDefault="0077263C" w:rsidP="00355ABC">
      <w:pPr>
        <w:pStyle w:val="EndnoteText"/>
        <w:tabs>
          <w:tab w:val="left" w:pos="360"/>
        </w:tabs>
        <w:rPr>
          <w:rFonts w:asciiTheme="minorHAnsi" w:hAnsiTheme="minorHAnsi"/>
        </w:rPr>
      </w:pPr>
      <w:r w:rsidRPr="00D126DA">
        <w:rPr>
          <w:rStyle w:val="EndnoteReference"/>
          <w:rFonts w:asciiTheme="minorHAnsi" w:hAnsiTheme="minorHAnsi"/>
        </w:rPr>
        <w:endnoteRef/>
      </w:r>
      <w:r>
        <w:rPr>
          <w:rFonts w:asciiTheme="majorHAnsi" w:hAnsiTheme="majorHAnsi"/>
        </w:rPr>
        <w:tab/>
      </w:r>
      <w:r w:rsidRPr="00355ABC">
        <w:rPr>
          <w:rFonts w:asciiTheme="majorHAnsi" w:hAnsiTheme="majorHAnsi"/>
        </w:rPr>
        <w:t>IID5_A-133_report_from_SMCCD_Audit_Report_2015.pdf</w:t>
      </w:r>
    </w:p>
  </w:endnote>
  <w:endnote w:id="59">
    <w:p w14:paraId="05DEFFB0" w14:textId="0F35CBF5" w:rsidR="0077263C" w:rsidRDefault="0077263C" w:rsidP="009437F0">
      <w:pPr>
        <w:pStyle w:val="EndnoteText"/>
        <w:tabs>
          <w:tab w:val="left" w:pos="360"/>
        </w:tabs>
      </w:pPr>
      <w:r>
        <w:rPr>
          <w:rStyle w:val="EndnoteReference"/>
        </w:rPr>
        <w:endnoteRef/>
      </w:r>
      <w:r>
        <w:rPr>
          <w:rFonts w:asciiTheme="majorHAnsi" w:hAnsiTheme="majorHAnsi"/>
        </w:rPr>
        <w:tab/>
      </w:r>
      <w:r w:rsidRPr="009437F0">
        <w:rPr>
          <w:rFonts w:asciiTheme="majorHAnsi" w:hAnsiTheme="majorHAnsi"/>
        </w:rPr>
        <w:t>CP_BP6250_Contracts_for_Services</w:t>
      </w:r>
      <w:r>
        <w:rPr>
          <w:rFonts w:asciiTheme="majorHAnsi" w:hAnsiTheme="majorHAnsi"/>
        </w:rPr>
        <w:t>.pdf</w:t>
      </w:r>
    </w:p>
  </w:endnote>
  <w:endnote w:id="60">
    <w:p w14:paraId="19B811E7" w14:textId="6A4C6118" w:rsidR="0077263C" w:rsidRDefault="0077263C" w:rsidP="009437F0">
      <w:pPr>
        <w:pStyle w:val="EndnoteText"/>
        <w:tabs>
          <w:tab w:val="left" w:pos="360"/>
        </w:tabs>
      </w:pPr>
      <w:r>
        <w:rPr>
          <w:rStyle w:val="EndnoteReference"/>
        </w:rPr>
        <w:endnoteRef/>
      </w:r>
      <w:r>
        <w:rPr>
          <w:rFonts w:asciiTheme="majorHAnsi" w:hAnsiTheme="majorHAnsi"/>
        </w:rPr>
        <w:tab/>
      </w:r>
      <w:r w:rsidRPr="009437F0">
        <w:rPr>
          <w:rFonts w:asciiTheme="majorHAnsi" w:hAnsiTheme="majorHAnsi"/>
        </w:rPr>
        <w:t>CP_BP6255_Delegation_of_Authority</w:t>
      </w:r>
      <w:r>
        <w:rPr>
          <w:rFonts w:asciiTheme="majorHAnsi" w:hAnsiTheme="majorHAnsi"/>
        </w:rPr>
        <w:t>.pdf</w:t>
      </w:r>
    </w:p>
  </w:endnote>
  <w:endnote w:id="61">
    <w:p w14:paraId="6AEBB3F1" w14:textId="19CD6D74" w:rsidR="0077263C" w:rsidRDefault="0077263C" w:rsidP="009437F0">
      <w:pPr>
        <w:pStyle w:val="EndnoteText"/>
        <w:tabs>
          <w:tab w:val="left" w:pos="360"/>
        </w:tabs>
      </w:pPr>
      <w:r>
        <w:rPr>
          <w:rStyle w:val="EndnoteReference"/>
        </w:rPr>
        <w:endnoteRef/>
      </w:r>
      <w:r>
        <w:rPr>
          <w:rFonts w:asciiTheme="majorHAnsi" w:hAnsiTheme="majorHAnsi"/>
        </w:rPr>
        <w:tab/>
      </w:r>
      <w:r w:rsidRPr="009437F0">
        <w:rPr>
          <w:rFonts w:asciiTheme="majorHAnsi" w:hAnsiTheme="majorHAnsi"/>
        </w:rPr>
        <w:t>CP_BP2115_Inst_Accountability</w:t>
      </w:r>
      <w:r>
        <w:rPr>
          <w:rFonts w:asciiTheme="majorHAnsi" w:hAnsiTheme="majorHAnsi"/>
        </w:rPr>
        <w:t>.pdf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Kozuka Gothic Pro L">
    <w:panose1 w:val="00000000000000000000"/>
    <w:charset w:val="80"/>
    <w:family w:val="swiss"/>
    <w:notTrueType/>
    <w:pitch w:val="variable"/>
    <w:sig w:usb0="00000283" w:usb1="2AC71C11" w:usb2="00000012" w:usb3="00000000" w:csb0="00020005"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E6DE8" w14:textId="0CFE61C8" w:rsidR="0077263C" w:rsidRPr="00A45497" w:rsidRDefault="00DC7C37" w:rsidP="00A45497">
    <w:pPr>
      <w:pStyle w:val="Footer"/>
      <w:pBdr>
        <w:top w:val="thinThickSmallGap" w:sz="24" w:space="0" w:color="4356E5"/>
      </w:pBdr>
      <w:rPr>
        <w:rFonts w:asciiTheme="majorHAnsi" w:hAnsiTheme="majorHAnsi"/>
      </w:rPr>
    </w:pPr>
    <w:sdt>
      <w:sdtPr>
        <w:rPr>
          <w:rFonts w:asciiTheme="majorHAnsi" w:hAnsiTheme="majorHAnsi"/>
        </w:rPr>
        <w:id w:val="1756712408"/>
        <w:docPartObj>
          <w:docPartGallery w:val="Page Numbers (Bottom of Page)"/>
          <w:docPartUnique/>
        </w:docPartObj>
      </w:sdtPr>
      <w:sdtEndPr/>
      <w:sdtContent>
        <w:r w:rsidR="0077263C" w:rsidRPr="001B0BD9">
          <w:rPr>
            <w:rFonts w:asciiTheme="majorHAnsi" w:hAnsiTheme="majorHAnsi"/>
          </w:rPr>
          <w:fldChar w:fldCharType="begin"/>
        </w:r>
        <w:r w:rsidR="0077263C" w:rsidRPr="001B0BD9">
          <w:rPr>
            <w:rFonts w:asciiTheme="majorHAnsi" w:hAnsiTheme="majorHAnsi"/>
          </w:rPr>
          <w:instrText xml:space="preserve"> PAGE   \* MERGEFORMAT </w:instrText>
        </w:r>
        <w:r w:rsidR="0077263C" w:rsidRPr="001B0BD9">
          <w:rPr>
            <w:rFonts w:asciiTheme="majorHAnsi" w:hAnsiTheme="majorHAnsi"/>
          </w:rPr>
          <w:fldChar w:fldCharType="separate"/>
        </w:r>
        <w:r w:rsidR="00EC5577">
          <w:rPr>
            <w:rFonts w:asciiTheme="majorHAnsi" w:hAnsiTheme="majorHAnsi"/>
            <w:noProof/>
          </w:rPr>
          <w:t>2</w:t>
        </w:r>
        <w:r w:rsidR="0077263C" w:rsidRPr="001B0BD9">
          <w:rPr>
            <w:rFonts w:asciiTheme="majorHAnsi" w:hAnsiTheme="majorHAnsi"/>
            <w:noProof/>
          </w:rPr>
          <w:fldChar w:fldCharType="end"/>
        </w:r>
        <w:r w:rsidR="0077263C" w:rsidRPr="001B0BD9">
          <w:rPr>
            <w:rFonts w:asciiTheme="majorHAnsi" w:hAnsiTheme="majorHAnsi"/>
          </w:rPr>
          <w:t xml:space="preserve"> </w:t>
        </w:r>
      </w:sdtContent>
    </w:sdt>
    <w:r w:rsidR="0077263C" w:rsidRPr="001B0BD9">
      <w:rPr>
        <w:rFonts w:asciiTheme="majorHAnsi" w:hAnsiTheme="majorHAnsi"/>
      </w:rPr>
      <w:tab/>
    </w:r>
    <w:r w:rsidR="0077263C" w:rsidRPr="001B0BD9">
      <w:rPr>
        <w:rFonts w:asciiTheme="majorHAnsi" w:hAnsiTheme="majorHAnsi"/>
      </w:rPr>
      <w:tab/>
      <w:t>Santa Moni</w:t>
    </w:r>
    <w:r w:rsidR="0077263C">
      <w:rPr>
        <w:rFonts w:asciiTheme="majorHAnsi" w:hAnsiTheme="majorHAnsi"/>
      </w:rPr>
      <w:t>ca College Self Evaluation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6DF24" w14:textId="49D41B67" w:rsidR="0077263C" w:rsidRPr="001B0BD9" w:rsidRDefault="00DC7C37" w:rsidP="00A45497">
    <w:pPr>
      <w:pStyle w:val="Footer"/>
      <w:pBdr>
        <w:top w:val="thinThickSmallGap" w:sz="24" w:space="0" w:color="4356E5"/>
      </w:pBdr>
      <w:rPr>
        <w:rFonts w:asciiTheme="majorHAnsi" w:hAnsiTheme="majorHAnsi"/>
      </w:rPr>
    </w:pPr>
    <w:sdt>
      <w:sdtPr>
        <w:rPr>
          <w:rFonts w:asciiTheme="majorHAnsi" w:hAnsiTheme="majorHAnsi"/>
        </w:rPr>
        <w:id w:val="-1614751679"/>
        <w:docPartObj>
          <w:docPartGallery w:val="Page Numbers (Bottom of Page)"/>
          <w:docPartUnique/>
        </w:docPartObj>
      </w:sdtPr>
      <w:sdtEndPr/>
      <w:sdtContent>
        <w:r w:rsidR="0077263C" w:rsidRPr="001B0BD9">
          <w:rPr>
            <w:rFonts w:asciiTheme="majorHAnsi" w:hAnsiTheme="majorHAnsi"/>
          </w:rPr>
          <w:t>Santa Monica College Self Evaluation 2016</w:t>
        </w:r>
        <w:r w:rsidR="0077263C" w:rsidRPr="001B0BD9">
          <w:rPr>
            <w:rFonts w:asciiTheme="majorHAnsi" w:hAnsiTheme="majorHAnsi"/>
          </w:rPr>
          <w:tab/>
        </w:r>
        <w:r w:rsidR="0077263C" w:rsidRPr="001B0BD9">
          <w:rPr>
            <w:rFonts w:asciiTheme="majorHAnsi" w:hAnsiTheme="majorHAnsi"/>
          </w:rPr>
          <w:tab/>
        </w:r>
        <w:r w:rsidR="0077263C" w:rsidRPr="001B0BD9">
          <w:rPr>
            <w:rFonts w:asciiTheme="majorHAnsi" w:hAnsiTheme="majorHAnsi"/>
          </w:rPr>
          <w:fldChar w:fldCharType="begin"/>
        </w:r>
        <w:r w:rsidR="0077263C" w:rsidRPr="001B0BD9">
          <w:rPr>
            <w:rFonts w:asciiTheme="majorHAnsi" w:hAnsiTheme="majorHAnsi"/>
          </w:rPr>
          <w:instrText xml:space="preserve"> PAGE   \* MERGEFORMAT </w:instrText>
        </w:r>
        <w:r w:rsidR="0077263C" w:rsidRPr="001B0BD9">
          <w:rPr>
            <w:rFonts w:asciiTheme="majorHAnsi" w:hAnsiTheme="majorHAnsi"/>
          </w:rPr>
          <w:fldChar w:fldCharType="separate"/>
        </w:r>
        <w:r w:rsidR="00EC5577">
          <w:rPr>
            <w:rFonts w:asciiTheme="majorHAnsi" w:hAnsiTheme="majorHAnsi"/>
            <w:noProof/>
          </w:rPr>
          <w:t>1</w:t>
        </w:r>
        <w:r w:rsidR="0077263C" w:rsidRPr="001B0BD9">
          <w:rPr>
            <w:rFonts w:asciiTheme="majorHAnsi" w:hAnsiTheme="majorHAnsi"/>
            <w:noProof/>
          </w:rPr>
          <w:fldChar w:fldCharType="end"/>
        </w:r>
        <w:r w:rsidR="0077263C" w:rsidRPr="001B0BD9">
          <w:rPr>
            <w:rFonts w:asciiTheme="majorHAnsi" w:hAnsiTheme="majorHAnsi"/>
          </w:rPr>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04EE3" w14:textId="77777777" w:rsidR="0077263C" w:rsidRPr="00A45497" w:rsidRDefault="00DC7C37" w:rsidP="00A45497">
    <w:pPr>
      <w:pStyle w:val="Footer"/>
      <w:pBdr>
        <w:top w:val="thinThickSmallGap" w:sz="24" w:space="0" w:color="4356E5"/>
      </w:pBdr>
      <w:tabs>
        <w:tab w:val="clear" w:pos="9360"/>
        <w:tab w:val="right" w:pos="9000"/>
      </w:tabs>
      <w:rPr>
        <w:rFonts w:asciiTheme="majorHAnsi" w:hAnsiTheme="majorHAnsi"/>
      </w:rPr>
    </w:pPr>
    <w:sdt>
      <w:sdtPr>
        <w:rPr>
          <w:rFonts w:asciiTheme="majorHAnsi" w:hAnsiTheme="majorHAnsi"/>
        </w:rPr>
        <w:id w:val="107709642"/>
        <w:docPartObj>
          <w:docPartGallery w:val="Page Numbers (Bottom of Page)"/>
          <w:docPartUnique/>
        </w:docPartObj>
      </w:sdtPr>
      <w:sdtEndPr/>
      <w:sdtContent>
        <w:r w:rsidR="0077263C" w:rsidRPr="001B0BD9">
          <w:rPr>
            <w:rFonts w:asciiTheme="majorHAnsi" w:hAnsiTheme="majorHAnsi"/>
          </w:rPr>
          <w:fldChar w:fldCharType="begin"/>
        </w:r>
        <w:r w:rsidR="0077263C" w:rsidRPr="001B0BD9">
          <w:rPr>
            <w:rFonts w:asciiTheme="majorHAnsi" w:hAnsiTheme="majorHAnsi"/>
          </w:rPr>
          <w:instrText xml:space="preserve"> PAGE   \* MERGEFORMAT </w:instrText>
        </w:r>
        <w:r w:rsidR="0077263C" w:rsidRPr="001B0BD9">
          <w:rPr>
            <w:rFonts w:asciiTheme="majorHAnsi" w:hAnsiTheme="majorHAnsi"/>
          </w:rPr>
          <w:fldChar w:fldCharType="separate"/>
        </w:r>
        <w:r w:rsidR="00EC5577">
          <w:rPr>
            <w:rFonts w:asciiTheme="majorHAnsi" w:hAnsiTheme="majorHAnsi"/>
            <w:noProof/>
          </w:rPr>
          <w:t>22</w:t>
        </w:r>
        <w:r w:rsidR="0077263C" w:rsidRPr="001B0BD9">
          <w:rPr>
            <w:rFonts w:asciiTheme="majorHAnsi" w:hAnsiTheme="majorHAnsi"/>
            <w:noProof/>
          </w:rPr>
          <w:fldChar w:fldCharType="end"/>
        </w:r>
        <w:r w:rsidR="0077263C" w:rsidRPr="001B0BD9">
          <w:rPr>
            <w:rFonts w:asciiTheme="majorHAnsi" w:hAnsiTheme="majorHAnsi"/>
          </w:rPr>
          <w:t xml:space="preserve"> </w:t>
        </w:r>
      </w:sdtContent>
    </w:sdt>
    <w:r w:rsidR="0077263C" w:rsidRPr="001B0BD9">
      <w:rPr>
        <w:rFonts w:asciiTheme="majorHAnsi" w:hAnsiTheme="majorHAnsi"/>
      </w:rPr>
      <w:tab/>
    </w:r>
    <w:r w:rsidR="0077263C" w:rsidRPr="001B0BD9">
      <w:rPr>
        <w:rFonts w:asciiTheme="majorHAnsi" w:hAnsiTheme="majorHAnsi"/>
      </w:rPr>
      <w:tab/>
      <w:t>Santa Moni</w:t>
    </w:r>
    <w:r w:rsidR="0077263C">
      <w:rPr>
        <w:rFonts w:asciiTheme="majorHAnsi" w:hAnsiTheme="majorHAnsi"/>
      </w:rPr>
      <w:t>ca College Self Evaluation 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9D091" w14:textId="77777777" w:rsidR="0077263C" w:rsidRPr="001B0BD9" w:rsidRDefault="00DC7C37" w:rsidP="00A45497">
    <w:pPr>
      <w:pStyle w:val="Footer"/>
      <w:pBdr>
        <w:top w:val="thinThickSmallGap" w:sz="24" w:space="0" w:color="4356E5"/>
      </w:pBdr>
      <w:tabs>
        <w:tab w:val="clear" w:pos="9360"/>
        <w:tab w:val="right" w:pos="9000"/>
      </w:tabs>
      <w:rPr>
        <w:rFonts w:asciiTheme="majorHAnsi" w:hAnsiTheme="majorHAnsi"/>
      </w:rPr>
    </w:pPr>
    <w:sdt>
      <w:sdtPr>
        <w:rPr>
          <w:rFonts w:asciiTheme="majorHAnsi" w:hAnsiTheme="majorHAnsi"/>
        </w:rPr>
        <w:id w:val="-518543823"/>
        <w:docPartObj>
          <w:docPartGallery w:val="Page Numbers (Bottom of Page)"/>
          <w:docPartUnique/>
        </w:docPartObj>
      </w:sdtPr>
      <w:sdtEndPr/>
      <w:sdtContent>
        <w:r w:rsidR="0077263C" w:rsidRPr="001B0BD9">
          <w:rPr>
            <w:rFonts w:asciiTheme="majorHAnsi" w:hAnsiTheme="majorHAnsi"/>
          </w:rPr>
          <w:t>Santa Monica College Self Evaluation 2016</w:t>
        </w:r>
        <w:r w:rsidR="0077263C" w:rsidRPr="001B0BD9">
          <w:rPr>
            <w:rFonts w:asciiTheme="majorHAnsi" w:hAnsiTheme="majorHAnsi"/>
          </w:rPr>
          <w:tab/>
        </w:r>
        <w:r w:rsidR="0077263C" w:rsidRPr="001B0BD9">
          <w:rPr>
            <w:rFonts w:asciiTheme="majorHAnsi" w:hAnsiTheme="majorHAnsi"/>
          </w:rPr>
          <w:tab/>
        </w:r>
        <w:r w:rsidR="0077263C" w:rsidRPr="001B0BD9">
          <w:rPr>
            <w:rFonts w:asciiTheme="majorHAnsi" w:hAnsiTheme="majorHAnsi"/>
          </w:rPr>
          <w:fldChar w:fldCharType="begin"/>
        </w:r>
        <w:r w:rsidR="0077263C" w:rsidRPr="001B0BD9">
          <w:rPr>
            <w:rFonts w:asciiTheme="majorHAnsi" w:hAnsiTheme="majorHAnsi"/>
          </w:rPr>
          <w:instrText xml:space="preserve"> PAGE   \* MERGEFORMAT </w:instrText>
        </w:r>
        <w:r w:rsidR="0077263C" w:rsidRPr="001B0BD9">
          <w:rPr>
            <w:rFonts w:asciiTheme="majorHAnsi" w:hAnsiTheme="majorHAnsi"/>
          </w:rPr>
          <w:fldChar w:fldCharType="separate"/>
        </w:r>
        <w:r w:rsidR="00EC5577">
          <w:rPr>
            <w:rFonts w:asciiTheme="majorHAnsi" w:hAnsiTheme="majorHAnsi"/>
            <w:noProof/>
          </w:rPr>
          <w:t>25</w:t>
        </w:r>
        <w:r w:rsidR="0077263C" w:rsidRPr="001B0BD9">
          <w:rPr>
            <w:rFonts w:asciiTheme="majorHAnsi" w:hAnsiTheme="majorHAnsi"/>
            <w:noProof/>
          </w:rPr>
          <w:fldChar w:fldCharType="end"/>
        </w:r>
        <w:r w:rsidR="0077263C" w:rsidRPr="001B0BD9">
          <w:rPr>
            <w:rFonts w:asciiTheme="majorHAnsi" w:hAnsiTheme="majorHAnsi"/>
          </w:rP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14786A" w14:textId="77777777" w:rsidR="00DC7C37" w:rsidRDefault="00DC7C37" w:rsidP="0091055F">
      <w:r>
        <w:separator/>
      </w:r>
    </w:p>
  </w:footnote>
  <w:footnote w:type="continuationSeparator" w:id="0">
    <w:p w14:paraId="0AE639FA" w14:textId="77777777" w:rsidR="00DC7C37" w:rsidRDefault="00DC7C37" w:rsidP="009105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5EF2B" w14:textId="45632AC6" w:rsidR="0077263C" w:rsidRPr="003D0702" w:rsidRDefault="0077263C" w:rsidP="003D070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C2CFF" w14:textId="6F053AA2" w:rsidR="0077263C" w:rsidRPr="001B0BD9" w:rsidRDefault="0077263C" w:rsidP="001B0BD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0723C" w14:textId="77777777" w:rsidR="0077263C" w:rsidRPr="001B0BD9" w:rsidRDefault="0077263C" w:rsidP="001B0B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D7F50"/>
    <w:multiLevelType w:val="hybridMultilevel"/>
    <w:tmpl w:val="E02EED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6B7A29"/>
    <w:multiLevelType w:val="hybridMultilevel"/>
    <w:tmpl w:val="A3128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E05227"/>
    <w:multiLevelType w:val="hybridMultilevel"/>
    <w:tmpl w:val="EFD2D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90C31"/>
    <w:multiLevelType w:val="hybridMultilevel"/>
    <w:tmpl w:val="AB3A3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870D42"/>
    <w:multiLevelType w:val="hybridMultilevel"/>
    <w:tmpl w:val="C3BA4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E63BDC"/>
    <w:multiLevelType w:val="hybridMultilevel"/>
    <w:tmpl w:val="7DB89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105A9E"/>
    <w:multiLevelType w:val="hybridMultilevel"/>
    <w:tmpl w:val="F05A3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6B748D"/>
    <w:multiLevelType w:val="hybridMultilevel"/>
    <w:tmpl w:val="4F0E3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FE78B1"/>
    <w:multiLevelType w:val="hybridMultilevel"/>
    <w:tmpl w:val="BC6C2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0211FB6"/>
    <w:multiLevelType w:val="hybridMultilevel"/>
    <w:tmpl w:val="6616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3D0316"/>
    <w:multiLevelType w:val="hybridMultilevel"/>
    <w:tmpl w:val="2CC86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6536A2"/>
    <w:multiLevelType w:val="hybridMultilevel"/>
    <w:tmpl w:val="4F6897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8A127CB"/>
    <w:multiLevelType w:val="hybridMultilevel"/>
    <w:tmpl w:val="A4141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D7D67"/>
    <w:multiLevelType w:val="hybridMultilevel"/>
    <w:tmpl w:val="4726E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D76794"/>
    <w:multiLevelType w:val="hybridMultilevel"/>
    <w:tmpl w:val="BB925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8A4E04"/>
    <w:multiLevelType w:val="hybridMultilevel"/>
    <w:tmpl w:val="6C1AA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4F49BE"/>
    <w:multiLevelType w:val="hybridMultilevel"/>
    <w:tmpl w:val="796ED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D837FA"/>
    <w:multiLevelType w:val="hybridMultilevel"/>
    <w:tmpl w:val="4B56A3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24317A5"/>
    <w:multiLevelType w:val="multilevel"/>
    <w:tmpl w:val="9CAE41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55C35452"/>
    <w:multiLevelType w:val="hybridMultilevel"/>
    <w:tmpl w:val="C1B824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B3D7CC3"/>
    <w:multiLevelType w:val="hybridMultilevel"/>
    <w:tmpl w:val="2960BB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C4148AB"/>
    <w:multiLevelType w:val="hybridMultilevel"/>
    <w:tmpl w:val="2054A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3C53B3"/>
    <w:multiLevelType w:val="hybridMultilevel"/>
    <w:tmpl w:val="9EF81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A304DA"/>
    <w:multiLevelType w:val="hybridMultilevel"/>
    <w:tmpl w:val="23746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5"/>
  </w:num>
  <w:num w:numId="3">
    <w:abstractNumId w:val="6"/>
  </w:num>
  <w:num w:numId="4">
    <w:abstractNumId w:val="2"/>
  </w:num>
  <w:num w:numId="5">
    <w:abstractNumId w:val="9"/>
  </w:num>
  <w:num w:numId="6">
    <w:abstractNumId w:val="13"/>
  </w:num>
  <w:num w:numId="7">
    <w:abstractNumId w:val="0"/>
  </w:num>
  <w:num w:numId="8">
    <w:abstractNumId w:val="4"/>
  </w:num>
  <w:num w:numId="9">
    <w:abstractNumId w:val="18"/>
  </w:num>
  <w:num w:numId="10">
    <w:abstractNumId w:val="7"/>
  </w:num>
  <w:num w:numId="11">
    <w:abstractNumId w:val="19"/>
  </w:num>
  <w:num w:numId="12">
    <w:abstractNumId w:val="23"/>
  </w:num>
  <w:num w:numId="13">
    <w:abstractNumId w:val="8"/>
  </w:num>
  <w:num w:numId="14">
    <w:abstractNumId w:val="1"/>
  </w:num>
  <w:num w:numId="15">
    <w:abstractNumId w:val="12"/>
  </w:num>
  <w:num w:numId="16">
    <w:abstractNumId w:val="17"/>
  </w:num>
  <w:num w:numId="17">
    <w:abstractNumId w:val="22"/>
  </w:num>
  <w:num w:numId="18">
    <w:abstractNumId w:val="16"/>
  </w:num>
  <w:num w:numId="19">
    <w:abstractNumId w:val="21"/>
  </w:num>
  <w:num w:numId="20">
    <w:abstractNumId w:val="3"/>
  </w:num>
  <w:num w:numId="21">
    <w:abstractNumId w:val="15"/>
  </w:num>
  <w:num w:numId="22">
    <w:abstractNumId w:val="14"/>
  </w:num>
  <w:num w:numId="23">
    <w:abstractNumId w:val="10"/>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0"/>
  <w:mirrorMargins/>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9C2"/>
    <w:rsid w:val="00002E79"/>
    <w:rsid w:val="00005B1A"/>
    <w:rsid w:val="00027004"/>
    <w:rsid w:val="00034D3C"/>
    <w:rsid w:val="00054693"/>
    <w:rsid w:val="00055081"/>
    <w:rsid w:val="00061B3D"/>
    <w:rsid w:val="00062469"/>
    <w:rsid w:val="00072FB2"/>
    <w:rsid w:val="0009587C"/>
    <w:rsid w:val="0009738E"/>
    <w:rsid w:val="000B4A2F"/>
    <w:rsid w:val="000D0953"/>
    <w:rsid w:val="001032B2"/>
    <w:rsid w:val="00106139"/>
    <w:rsid w:val="001063B2"/>
    <w:rsid w:val="00112872"/>
    <w:rsid w:val="001228BB"/>
    <w:rsid w:val="00125872"/>
    <w:rsid w:val="00127461"/>
    <w:rsid w:val="00131649"/>
    <w:rsid w:val="001343AE"/>
    <w:rsid w:val="001420E1"/>
    <w:rsid w:val="00146A92"/>
    <w:rsid w:val="00161C7F"/>
    <w:rsid w:val="00167F0B"/>
    <w:rsid w:val="00171587"/>
    <w:rsid w:val="0017427D"/>
    <w:rsid w:val="00177F77"/>
    <w:rsid w:val="0018077D"/>
    <w:rsid w:val="001A04B2"/>
    <w:rsid w:val="001A7025"/>
    <w:rsid w:val="001B0BD9"/>
    <w:rsid w:val="001B2B08"/>
    <w:rsid w:val="001C0BCD"/>
    <w:rsid w:val="001C373A"/>
    <w:rsid w:val="001C65FC"/>
    <w:rsid w:val="001D3183"/>
    <w:rsid w:val="001F37D8"/>
    <w:rsid w:val="00201BE4"/>
    <w:rsid w:val="00212A90"/>
    <w:rsid w:val="002365B4"/>
    <w:rsid w:val="00246BAF"/>
    <w:rsid w:val="00263A84"/>
    <w:rsid w:val="0026526C"/>
    <w:rsid w:val="00271C37"/>
    <w:rsid w:val="002736B5"/>
    <w:rsid w:val="00284B13"/>
    <w:rsid w:val="00295F20"/>
    <w:rsid w:val="002B0C3E"/>
    <w:rsid w:val="002B6F6A"/>
    <w:rsid w:val="002B6FD1"/>
    <w:rsid w:val="002C13EF"/>
    <w:rsid w:val="002D7B08"/>
    <w:rsid w:val="002F276E"/>
    <w:rsid w:val="002F2CA0"/>
    <w:rsid w:val="002F4E89"/>
    <w:rsid w:val="003345E1"/>
    <w:rsid w:val="00345EDB"/>
    <w:rsid w:val="00351589"/>
    <w:rsid w:val="00355ABC"/>
    <w:rsid w:val="00357106"/>
    <w:rsid w:val="00372C39"/>
    <w:rsid w:val="00381649"/>
    <w:rsid w:val="00384883"/>
    <w:rsid w:val="00384FC4"/>
    <w:rsid w:val="00395686"/>
    <w:rsid w:val="00396000"/>
    <w:rsid w:val="003A7C14"/>
    <w:rsid w:val="003B240E"/>
    <w:rsid w:val="003B2B93"/>
    <w:rsid w:val="003D0702"/>
    <w:rsid w:val="003D1236"/>
    <w:rsid w:val="003D3B77"/>
    <w:rsid w:val="003D42C0"/>
    <w:rsid w:val="003D4C4D"/>
    <w:rsid w:val="003D557C"/>
    <w:rsid w:val="003F2E84"/>
    <w:rsid w:val="003F6D20"/>
    <w:rsid w:val="00400947"/>
    <w:rsid w:val="00417CF5"/>
    <w:rsid w:val="00427325"/>
    <w:rsid w:val="00434A3C"/>
    <w:rsid w:val="00476F5A"/>
    <w:rsid w:val="00481155"/>
    <w:rsid w:val="00493ABB"/>
    <w:rsid w:val="004E5725"/>
    <w:rsid w:val="00514BD5"/>
    <w:rsid w:val="00557A73"/>
    <w:rsid w:val="00567290"/>
    <w:rsid w:val="00572B74"/>
    <w:rsid w:val="00572BE5"/>
    <w:rsid w:val="00584FB0"/>
    <w:rsid w:val="0058535E"/>
    <w:rsid w:val="005861AC"/>
    <w:rsid w:val="005904EF"/>
    <w:rsid w:val="005A49A8"/>
    <w:rsid w:val="005B095D"/>
    <w:rsid w:val="005B0C71"/>
    <w:rsid w:val="005F11C2"/>
    <w:rsid w:val="005F6380"/>
    <w:rsid w:val="00600F16"/>
    <w:rsid w:val="00602C5F"/>
    <w:rsid w:val="00614680"/>
    <w:rsid w:val="00623A87"/>
    <w:rsid w:val="00631098"/>
    <w:rsid w:val="00634B8C"/>
    <w:rsid w:val="006538A2"/>
    <w:rsid w:val="00657B99"/>
    <w:rsid w:val="00657C36"/>
    <w:rsid w:val="0066422F"/>
    <w:rsid w:val="00681EEE"/>
    <w:rsid w:val="0068461F"/>
    <w:rsid w:val="00697B2E"/>
    <w:rsid w:val="006A1559"/>
    <w:rsid w:val="006A2974"/>
    <w:rsid w:val="006A2C33"/>
    <w:rsid w:val="006B2D41"/>
    <w:rsid w:val="006C0206"/>
    <w:rsid w:val="006E1CB1"/>
    <w:rsid w:val="006F2A21"/>
    <w:rsid w:val="006F4D9F"/>
    <w:rsid w:val="00715060"/>
    <w:rsid w:val="00715A76"/>
    <w:rsid w:val="00716D3D"/>
    <w:rsid w:val="00717078"/>
    <w:rsid w:val="00720091"/>
    <w:rsid w:val="007224FF"/>
    <w:rsid w:val="00724374"/>
    <w:rsid w:val="007314F8"/>
    <w:rsid w:val="00733424"/>
    <w:rsid w:val="00746A76"/>
    <w:rsid w:val="00755D65"/>
    <w:rsid w:val="00765A25"/>
    <w:rsid w:val="00770A6F"/>
    <w:rsid w:val="0077263C"/>
    <w:rsid w:val="0079127C"/>
    <w:rsid w:val="007A215F"/>
    <w:rsid w:val="007C0ED6"/>
    <w:rsid w:val="007C3E4E"/>
    <w:rsid w:val="007C758D"/>
    <w:rsid w:val="007D6FA0"/>
    <w:rsid w:val="007E59C2"/>
    <w:rsid w:val="007F1FAD"/>
    <w:rsid w:val="007F7466"/>
    <w:rsid w:val="00803565"/>
    <w:rsid w:val="00805F50"/>
    <w:rsid w:val="00807040"/>
    <w:rsid w:val="008123A4"/>
    <w:rsid w:val="00824299"/>
    <w:rsid w:val="00855AD6"/>
    <w:rsid w:val="0085765E"/>
    <w:rsid w:val="00862AAF"/>
    <w:rsid w:val="00877AD5"/>
    <w:rsid w:val="00884E96"/>
    <w:rsid w:val="00886491"/>
    <w:rsid w:val="00891EDA"/>
    <w:rsid w:val="00894438"/>
    <w:rsid w:val="008958E8"/>
    <w:rsid w:val="008A7550"/>
    <w:rsid w:val="008D3A75"/>
    <w:rsid w:val="008D5D3C"/>
    <w:rsid w:val="008F6F33"/>
    <w:rsid w:val="00904F69"/>
    <w:rsid w:val="0091055F"/>
    <w:rsid w:val="00934A58"/>
    <w:rsid w:val="00935999"/>
    <w:rsid w:val="009437F0"/>
    <w:rsid w:val="00957719"/>
    <w:rsid w:val="00957D1B"/>
    <w:rsid w:val="00964E16"/>
    <w:rsid w:val="0096705D"/>
    <w:rsid w:val="0096715C"/>
    <w:rsid w:val="00974D4C"/>
    <w:rsid w:val="00993213"/>
    <w:rsid w:val="00995F2F"/>
    <w:rsid w:val="009A076B"/>
    <w:rsid w:val="009A555D"/>
    <w:rsid w:val="009A7DC5"/>
    <w:rsid w:val="009C0839"/>
    <w:rsid w:val="009D2A05"/>
    <w:rsid w:val="009D2ABD"/>
    <w:rsid w:val="009D7D09"/>
    <w:rsid w:val="009E02AB"/>
    <w:rsid w:val="009E47C0"/>
    <w:rsid w:val="00A01ACA"/>
    <w:rsid w:val="00A15AB0"/>
    <w:rsid w:val="00A23D67"/>
    <w:rsid w:val="00A315F5"/>
    <w:rsid w:val="00A3382E"/>
    <w:rsid w:val="00A45497"/>
    <w:rsid w:val="00A91A5E"/>
    <w:rsid w:val="00AA043D"/>
    <w:rsid w:val="00AA68C4"/>
    <w:rsid w:val="00AA70C2"/>
    <w:rsid w:val="00AB59D5"/>
    <w:rsid w:val="00AB70C3"/>
    <w:rsid w:val="00AC7A38"/>
    <w:rsid w:val="00AD2556"/>
    <w:rsid w:val="00AE223E"/>
    <w:rsid w:val="00B01503"/>
    <w:rsid w:val="00B01B8B"/>
    <w:rsid w:val="00B10FB3"/>
    <w:rsid w:val="00B17F36"/>
    <w:rsid w:val="00B2112C"/>
    <w:rsid w:val="00B45CAF"/>
    <w:rsid w:val="00B5133B"/>
    <w:rsid w:val="00B66436"/>
    <w:rsid w:val="00B71792"/>
    <w:rsid w:val="00B9121B"/>
    <w:rsid w:val="00B930C3"/>
    <w:rsid w:val="00B95103"/>
    <w:rsid w:val="00BA5B06"/>
    <w:rsid w:val="00BB44E1"/>
    <w:rsid w:val="00BB6925"/>
    <w:rsid w:val="00BC4A58"/>
    <w:rsid w:val="00BC6B74"/>
    <w:rsid w:val="00BE01B0"/>
    <w:rsid w:val="00BE0DF5"/>
    <w:rsid w:val="00BE4A8D"/>
    <w:rsid w:val="00C10BD6"/>
    <w:rsid w:val="00C11872"/>
    <w:rsid w:val="00C11D53"/>
    <w:rsid w:val="00C202A7"/>
    <w:rsid w:val="00C20BA0"/>
    <w:rsid w:val="00C222FE"/>
    <w:rsid w:val="00C22D6B"/>
    <w:rsid w:val="00C40291"/>
    <w:rsid w:val="00C626D2"/>
    <w:rsid w:val="00C66132"/>
    <w:rsid w:val="00C75B72"/>
    <w:rsid w:val="00C878A9"/>
    <w:rsid w:val="00C9560B"/>
    <w:rsid w:val="00C97EBE"/>
    <w:rsid w:val="00CA38D9"/>
    <w:rsid w:val="00CA763D"/>
    <w:rsid w:val="00CC4C42"/>
    <w:rsid w:val="00CE1168"/>
    <w:rsid w:val="00CE40E8"/>
    <w:rsid w:val="00CE5DFB"/>
    <w:rsid w:val="00CF7BA8"/>
    <w:rsid w:val="00D0172C"/>
    <w:rsid w:val="00D05D0D"/>
    <w:rsid w:val="00D203F8"/>
    <w:rsid w:val="00D2352F"/>
    <w:rsid w:val="00D30BD7"/>
    <w:rsid w:val="00D33AAE"/>
    <w:rsid w:val="00D47FBD"/>
    <w:rsid w:val="00D61972"/>
    <w:rsid w:val="00D969AD"/>
    <w:rsid w:val="00DB0256"/>
    <w:rsid w:val="00DC4186"/>
    <w:rsid w:val="00DC7C37"/>
    <w:rsid w:val="00DD4461"/>
    <w:rsid w:val="00DD5D5D"/>
    <w:rsid w:val="00DD621A"/>
    <w:rsid w:val="00DF0CFC"/>
    <w:rsid w:val="00DF0D86"/>
    <w:rsid w:val="00E01109"/>
    <w:rsid w:val="00E05AE8"/>
    <w:rsid w:val="00E13753"/>
    <w:rsid w:val="00E16F50"/>
    <w:rsid w:val="00E210FD"/>
    <w:rsid w:val="00E26E4C"/>
    <w:rsid w:val="00E51990"/>
    <w:rsid w:val="00E60208"/>
    <w:rsid w:val="00E82E7A"/>
    <w:rsid w:val="00E83295"/>
    <w:rsid w:val="00E846E9"/>
    <w:rsid w:val="00E855F3"/>
    <w:rsid w:val="00E857B8"/>
    <w:rsid w:val="00EB0DC9"/>
    <w:rsid w:val="00EB44D5"/>
    <w:rsid w:val="00EB671C"/>
    <w:rsid w:val="00EC4246"/>
    <w:rsid w:val="00EC5577"/>
    <w:rsid w:val="00EE335B"/>
    <w:rsid w:val="00EE4EAF"/>
    <w:rsid w:val="00EF407A"/>
    <w:rsid w:val="00F064D5"/>
    <w:rsid w:val="00F106E0"/>
    <w:rsid w:val="00F1162D"/>
    <w:rsid w:val="00F14D89"/>
    <w:rsid w:val="00F25393"/>
    <w:rsid w:val="00F32951"/>
    <w:rsid w:val="00F4114F"/>
    <w:rsid w:val="00F53AC5"/>
    <w:rsid w:val="00F71289"/>
    <w:rsid w:val="00F75007"/>
    <w:rsid w:val="00F76005"/>
    <w:rsid w:val="00F84D44"/>
    <w:rsid w:val="00F90FCA"/>
    <w:rsid w:val="00F91E6C"/>
    <w:rsid w:val="00FA7416"/>
    <w:rsid w:val="00FB1C0E"/>
    <w:rsid w:val="00FC4864"/>
    <w:rsid w:val="00FC6306"/>
    <w:rsid w:val="00FC73E0"/>
    <w:rsid w:val="00FC782F"/>
    <w:rsid w:val="00FD4E98"/>
    <w:rsid w:val="00FD5239"/>
    <w:rsid w:val="00FE1147"/>
    <w:rsid w:val="00FE2C4F"/>
    <w:rsid w:val="00FE3A76"/>
    <w:rsid w:val="00FF08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6E5B26"/>
  <w15:docId w15:val="{5DBE7BE4-0C96-4C62-8B13-48BD989B4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spaced"/>
    <w:qFormat/>
    <w:rsid w:val="00B71792"/>
    <w:rPr>
      <w:rFonts w:ascii="Times New Roman" w:hAnsi="Times New Roman"/>
    </w:rPr>
  </w:style>
  <w:style w:type="paragraph" w:styleId="Heading1">
    <w:name w:val="heading 1"/>
    <w:basedOn w:val="Normal"/>
    <w:next w:val="Normal"/>
    <w:link w:val="Heading1Char"/>
    <w:uiPriority w:val="9"/>
    <w:qFormat/>
    <w:rsid w:val="00AB59D5"/>
    <w:pPr>
      <w:keepNext/>
      <w:keepLines/>
      <w:spacing w:before="480" w:after="120"/>
      <w:outlineLvl w:val="0"/>
    </w:pPr>
    <w:rPr>
      <w:rFonts w:eastAsiaTheme="majorEastAsia" w:cstheme="majorBidi"/>
      <w:b/>
      <w:bCs/>
      <w:color w:val="365F91" w:themeColor="accent1" w:themeShade="BF"/>
      <w:sz w:val="36"/>
      <w:szCs w:val="32"/>
    </w:rPr>
  </w:style>
  <w:style w:type="paragraph" w:styleId="Heading2">
    <w:name w:val="heading 2"/>
    <w:basedOn w:val="Normal"/>
    <w:next w:val="Normal"/>
    <w:link w:val="Heading2Char"/>
    <w:uiPriority w:val="9"/>
    <w:unhideWhenUsed/>
    <w:qFormat/>
    <w:rsid w:val="00AB59D5"/>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link w:val="Heading3Char"/>
    <w:uiPriority w:val="9"/>
    <w:qFormat/>
    <w:rsid w:val="00AB59D5"/>
    <w:pPr>
      <w:keepNext/>
      <w:spacing w:before="240" w:after="120"/>
      <w:outlineLvl w:val="2"/>
    </w:pPr>
    <w:rPr>
      <w:rFonts w:eastAsia="Times New Roman" w:cs="Times New Roman"/>
      <w:b/>
      <w:bCs/>
      <w:i/>
      <w:szCs w:val="27"/>
    </w:rPr>
  </w:style>
  <w:style w:type="paragraph" w:styleId="Heading4">
    <w:name w:val="heading 4"/>
    <w:basedOn w:val="Normal"/>
    <w:next w:val="Normal"/>
    <w:link w:val="Heading4Char"/>
    <w:uiPriority w:val="9"/>
    <w:unhideWhenUsed/>
    <w:qFormat/>
    <w:rsid w:val="00AB59D5"/>
    <w:pPr>
      <w:keepNext/>
      <w:keepLines/>
      <w:spacing w:before="12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57106"/>
    <w:rPr>
      <w:sz w:val="18"/>
      <w:szCs w:val="18"/>
    </w:rPr>
  </w:style>
  <w:style w:type="paragraph" w:styleId="CommentText">
    <w:name w:val="annotation text"/>
    <w:basedOn w:val="Normal"/>
    <w:link w:val="CommentTextChar"/>
    <w:uiPriority w:val="99"/>
    <w:semiHidden/>
    <w:unhideWhenUsed/>
    <w:rsid w:val="00357106"/>
  </w:style>
  <w:style w:type="character" w:customStyle="1" w:styleId="CommentTextChar">
    <w:name w:val="Comment Text Char"/>
    <w:basedOn w:val="DefaultParagraphFont"/>
    <w:link w:val="CommentText"/>
    <w:uiPriority w:val="99"/>
    <w:semiHidden/>
    <w:rsid w:val="00357106"/>
  </w:style>
  <w:style w:type="paragraph" w:styleId="CommentSubject">
    <w:name w:val="annotation subject"/>
    <w:basedOn w:val="CommentText"/>
    <w:next w:val="CommentText"/>
    <w:link w:val="CommentSubjectChar"/>
    <w:uiPriority w:val="99"/>
    <w:semiHidden/>
    <w:unhideWhenUsed/>
    <w:rsid w:val="00357106"/>
    <w:rPr>
      <w:b/>
      <w:bCs/>
      <w:sz w:val="20"/>
      <w:szCs w:val="20"/>
    </w:rPr>
  </w:style>
  <w:style w:type="character" w:customStyle="1" w:styleId="CommentSubjectChar">
    <w:name w:val="Comment Subject Char"/>
    <w:basedOn w:val="CommentTextChar"/>
    <w:link w:val="CommentSubject"/>
    <w:uiPriority w:val="99"/>
    <w:semiHidden/>
    <w:rsid w:val="00357106"/>
    <w:rPr>
      <w:b/>
      <w:bCs/>
      <w:sz w:val="20"/>
      <w:szCs w:val="20"/>
    </w:rPr>
  </w:style>
  <w:style w:type="paragraph" w:styleId="BalloonText">
    <w:name w:val="Balloon Text"/>
    <w:basedOn w:val="Normal"/>
    <w:link w:val="BalloonTextChar"/>
    <w:uiPriority w:val="99"/>
    <w:semiHidden/>
    <w:unhideWhenUsed/>
    <w:rsid w:val="00357106"/>
    <w:rPr>
      <w:rFonts w:ascii="Lucida Grande" w:hAnsi="Lucida Grande"/>
      <w:sz w:val="18"/>
      <w:szCs w:val="18"/>
    </w:rPr>
  </w:style>
  <w:style w:type="character" w:customStyle="1" w:styleId="BalloonTextChar">
    <w:name w:val="Balloon Text Char"/>
    <w:basedOn w:val="DefaultParagraphFont"/>
    <w:link w:val="BalloonText"/>
    <w:uiPriority w:val="99"/>
    <w:semiHidden/>
    <w:rsid w:val="00357106"/>
    <w:rPr>
      <w:rFonts w:ascii="Lucida Grande" w:hAnsi="Lucida Grande"/>
      <w:sz w:val="18"/>
      <w:szCs w:val="18"/>
    </w:rPr>
  </w:style>
  <w:style w:type="paragraph" w:styleId="FootnoteText">
    <w:name w:val="footnote text"/>
    <w:basedOn w:val="Normal"/>
    <w:link w:val="FootnoteTextChar"/>
    <w:uiPriority w:val="99"/>
    <w:unhideWhenUsed/>
    <w:rsid w:val="0091055F"/>
  </w:style>
  <w:style w:type="character" w:customStyle="1" w:styleId="FootnoteTextChar">
    <w:name w:val="Footnote Text Char"/>
    <w:basedOn w:val="DefaultParagraphFont"/>
    <w:link w:val="FootnoteText"/>
    <w:uiPriority w:val="99"/>
    <w:rsid w:val="0091055F"/>
  </w:style>
  <w:style w:type="character" w:styleId="FootnoteReference">
    <w:name w:val="footnote reference"/>
    <w:basedOn w:val="DefaultParagraphFont"/>
    <w:uiPriority w:val="99"/>
    <w:unhideWhenUsed/>
    <w:rsid w:val="0091055F"/>
    <w:rPr>
      <w:vertAlign w:val="superscript"/>
    </w:rPr>
  </w:style>
  <w:style w:type="character" w:customStyle="1" w:styleId="Heading1Char">
    <w:name w:val="Heading 1 Char"/>
    <w:basedOn w:val="DefaultParagraphFont"/>
    <w:link w:val="Heading1"/>
    <w:uiPriority w:val="9"/>
    <w:rsid w:val="00AB59D5"/>
    <w:rPr>
      <w:rFonts w:ascii="Times New Roman" w:eastAsiaTheme="majorEastAsia" w:hAnsi="Times New Roman" w:cstheme="majorBidi"/>
      <w:b/>
      <w:bCs/>
      <w:color w:val="365F91" w:themeColor="accent1" w:themeShade="BF"/>
      <w:sz w:val="36"/>
      <w:szCs w:val="32"/>
    </w:rPr>
  </w:style>
  <w:style w:type="character" w:customStyle="1" w:styleId="Heading2Char">
    <w:name w:val="Heading 2 Char"/>
    <w:basedOn w:val="DefaultParagraphFont"/>
    <w:link w:val="Heading2"/>
    <w:uiPriority w:val="9"/>
    <w:rsid w:val="00AB59D5"/>
    <w:rPr>
      <w:rFonts w:ascii="Times New Roman" w:eastAsiaTheme="majorEastAsia" w:hAnsi="Times New Roman" w:cstheme="majorBidi"/>
      <w:b/>
      <w:bCs/>
      <w:color w:val="4F81BD" w:themeColor="accent1"/>
      <w:sz w:val="26"/>
      <w:szCs w:val="26"/>
    </w:rPr>
  </w:style>
  <w:style w:type="character" w:customStyle="1" w:styleId="Heading3Char">
    <w:name w:val="Heading 3 Char"/>
    <w:basedOn w:val="DefaultParagraphFont"/>
    <w:link w:val="Heading3"/>
    <w:uiPriority w:val="9"/>
    <w:rsid w:val="00AB59D5"/>
    <w:rPr>
      <w:rFonts w:ascii="Times New Roman" w:eastAsia="Times New Roman" w:hAnsi="Times New Roman" w:cs="Times New Roman"/>
      <w:b/>
      <w:bCs/>
      <w:i/>
      <w:szCs w:val="27"/>
    </w:rPr>
  </w:style>
  <w:style w:type="table" w:styleId="TableGrid">
    <w:name w:val="Table Grid"/>
    <w:basedOn w:val="TableNormal"/>
    <w:uiPriority w:val="39"/>
    <w:rsid w:val="003F6D20"/>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3F6D20"/>
    <w:rPr>
      <w:rFonts w:eastAsiaTheme="minorHAnsi"/>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2-Accent51">
    <w:name w:val="Grid Table 2 - Accent 51"/>
    <w:basedOn w:val="TableNormal"/>
    <w:uiPriority w:val="47"/>
    <w:rsid w:val="003F6D20"/>
    <w:rPr>
      <w:rFonts w:eastAsiaTheme="minorHAnsi"/>
      <w:sz w:val="22"/>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Spacing">
    <w:name w:val="No Spacing"/>
    <w:link w:val="NoSpacingChar"/>
    <w:uiPriority w:val="1"/>
    <w:qFormat/>
    <w:rsid w:val="003F6D20"/>
    <w:rPr>
      <w:rFonts w:eastAsiaTheme="minorHAnsi"/>
      <w:sz w:val="22"/>
      <w:szCs w:val="22"/>
    </w:rPr>
  </w:style>
  <w:style w:type="table" w:customStyle="1" w:styleId="GridTable5Dark-Accent51">
    <w:name w:val="Grid Table 5 Dark - Accent 51"/>
    <w:basedOn w:val="TableNormal"/>
    <w:uiPriority w:val="50"/>
    <w:rsid w:val="003F6D20"/>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Header">
    <w:name w:val="header"/>
    <w:basedOn w:val="Normal"/>
    <w:link w:val="HeaderChar"/>
    <w:uiPriority w:val="99"/>
    <w:unhideWhenUsed/>
    <w:rsid w:val="003F6D20"/>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3F6D20"/>
    <w:rPr>
      <w:rFonts w:eastAsiaTheme="minorHAnsi"/>
      <w:sz w:val="22"/>
      <w:szCs w:val="22"/>
    </w:rPr>
  </w:style>
  <w:style w:type="paragraph" w:styleId="Footer">
    <w:name w:val="footer"/>
    <w:basedOn w:val="Normal"/>
    <w:link w:val="FooterChar"/>
    <w:uiPriority w:val="99"/>
    <w:unhideWhenUsed/>
    <w:rsid w:val="003F6D20"/>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3F6D20"/>
    <w:rPr>
      <w:rFonts w:eastAsiaTheme="minorHAnsi"/>
      <w:sz w:val="22"/>
      <w:szCs w:val="22"/>
    </w:rPr>
  </w:style>
  <w:style w:type="character" w:customStyle="1" w:styleId="apple-converted-space">
    <w:name w:val="apple-converted-space"/>
    <w:basedOn w:val="DefaultParagraphFont"/>
    <w:rsid w:val="003F6D20"/>
  </w:style>
  <w:style w:type="character" w:customStyle="1" w:styleId="NoSpacingChar">
    <w:name w:val="No Spacing Char"/>
    <w:basedOn w:val="DefaultParagraphFont"/>
    <w:link w:val="NoSpacing"/>
    <w:uiPriority w:val="99"/>
    <w:rsid w:val="003F6D20"/>
    <w:rPr>
      <w:rFonts w:eastAsiaTheme="minorHAnsi"/>
      <w:sz w:val="22"/>
      <w:szCs w:val="22"/>
    </w:rPr>
  </w:style>
  <w:style w:type="paragraph" w:styleId="ListParagraph">
    <w:name w:val="List Paragraph"/>
    <w:basedOn w:val="Normal"/>
    <w:uiPriority w:val="34"/>
    <w:qFormat/>
    <w:rsid w:val="00FE2C4F"/>
    <w:pPr>
      <w:spacing w:line="285" w:lineRule="auto"/>
      <w:ind w:left="720"/>
      <w:contextualSpacing/>
    </w:pPr>
    <w:rPr>
      <w:rFonts w:eastAsia="Times New Roman" w:cs="Times New Roman"/>
      <w:color w:val="000000" w:themeColor="text1"/>
      <w:kern w:val="28"/>
      <w:szCs w:val="20"/>
    </w:rPr>
  </w:style>
  <w:style w:type="character" w:styleId="Hyperlink">
    <w:name w:val="Hyperlink"/>
    <w:basedOn w:val="DefaultParagraphFont"/>
    <w:uiPriority w:val="99"/>
    <w:unhideWhenUsed/>
    <w:rsid w:val="003F6D20"/>
    <w:rPr>
      <w:color w:val="0000FF" w:themeColor="hyperlink"/>
      <w:u w:val="single"/>
    </w:rPr>
  </w:style>
  <w:style w:type="paragraph" w:styleId="BodyText">
    <w:name w:val="Body Text"/>
    <w:basedOn w:val="Normal"/>
    <w:link w:val="BodyTextChar"/>
    <w:uiPriority w:val="1"/>
    <w:qFormat/>
    <w:rsid w:val="00062469"/>
    <w:pPr>
      <w:widowControl w:val="0"/>
      <w:ind w:left="140"/>
    </w:pPr>
    <w:rPr>
      <w:rFonts w:eastAsia="Times New Roman"/>
    </w:rPr>
  </w:style>
  <w:style w:type="character" w:customStyle="1" w:styleId="BodyTextChar">
    <w:name w:val="Body Text Char"/>
    <w:basedOn w:val="DefaultParagraphFont"/>
    <w:link w:val="BodyText"/>
    <w:uiPriority w:val="1"/>
    <w:rsid w:val="00062469"/>
    <w:rPr>
      <w:rFonts w:ascii="Times New Roman" w:eastAsia="Times New Roman" w:hAnsi="Times New Roman"/>
    </w:rPr>
  </w:style>
  <w:style w:type="paragraph" w:styleId="Title">
    <w:name w:val="Title"/>
    <w:basedOn w:val="Normal"/>
    <w:next w:val="Normal"/>
    <w:link w:val="TitleChar"/>
    <w:uiPriority w:val="10"/>
    <w:qFormat/>
    <w:rsid w:val="00F2539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5393"/>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AB59D5"/>
    <w:rPr>
      <w:rFonts w:asciiTheme="majorHAnsi" w:eastAsiaTheme="majorEastAsia" w:hAnsiTheme="majorHAnsi" w:cstheme="majorBidi"/>
      <w:i/>
      <w:iCs/>
      <w:color w:val="365F91" w:themeColor="accent1" w:themeShade="BF"/>
    </w:rPr>
  </w:style>
  <w:style w:type="paragraph" w:customStyle="1" w:styleId="Normalwithspacebetween">
    <w:name w:val="Normal with space between"/>
    <w:basedOn w:val="Normal"/>
    <w:link w:val="NormalwithspacebetweenChar"/>
    <w:qFormat/>
    <w:rsid w:val="00B71792"/>
    <w:pPr>
      <w:spacing w:before="120" w:after="120"/>
    </w:pPr>
  </w:style>
  <w:style w:type="character" w:customStyle="1" w:styleId="NormalwithspacebetweenChar">
    <w:name w:val="Normal with space between Char"/>
    <w:basedOn w:val="DefaultParagraphFont"/>
    <w:link w:val="Normalwithspacebetween"/>
    <w:rsid w:val="00B71792"/>
    <w:rPr>
      <w:rFonts w:ascii="Times New Roman" w:hAnsi="Times New Roman"/>
    </w:rPr>
  </w:style>
  <w:style w:type="paragraph" w:styleId="NormalWeb">
    <w:name w:val="Normal (Web)"/>
    <w:basedOn w:val="Normal"/>
    <w:uiPriority w:val="99"/>
    <w:semiHidden/>
    <w:unhideWhenUsed/>
    <w:rsid w:val="009A7DC5"/>
    <w:pPr>
      <w:spacing w:before="100" w:beforeAutospacing="1" w:after="100" w:afterAutospacing="1"/>
    </w:pPr>
    <w:rPr>
      <w:rFonts w:eastAsia="Times New Roman" w:cs="Times New Roman"/>
    </w:rPr>
  </w:style>
  <w:style w:type="character" w:styleId="Strong">
    <w:name w:val="Strong"/>
    <w:basedOn w:val="DefaultParagraphFont"/>
    <w:uiPriority w:val="22"/>
    <w:qFormat/>
    <w:rsid w:val="009A7DC5"/>
    <w:rPr>
      <w:b/>
      <w:bCs/>
    </w:rPr>
  </w:style>
  <w:style w:type="character" w:customStyle="1" w:styleId="ms-rtefontsize-21">
    <w:name w:val="ms-rtefontsize-21"/>
    <w:basedOn w:val="DefaultParagraphFont"/>
    <w:rsid w:val="00FC73E0"/>
    <w:rPr>
      <w:sz w:val="20"/>
      <w:szCs w:val="20"/>
    </w:rPr>
  </w:style>
  <w:style w:type="character" w:styleId="Emphasis">
    <w:name w:val="Emphasis"/>
    <w:basedOn w:val="DefaultParagraphFont"/>
    <w:uiPriority w:val="20"/>
    <w:qFormat/>
    <w:rsid w:val="00FC73E0"/>
    <w:rPr>
      <w:i/>
      <w:iCs/>
    </w:rPr>
  </w:style>
  <w:style w:type="character" w:styleId="FollowedHyperlink">
    <w:name w:val="FollowedHyperlink"/>
    <w:basedOn w:val="DefaultParagraphFont"/>
    <w:uiPriority w:val="99"/>
    <w:semiHidden/>
    <w:unhideWhenUsed/>
    <w:rsid w:val="001C65FC"/>
    <w:rPr>
      <w:color w:val="800080" w:themeColor="followedHyperlink"/>
      <w:u w:val="single"/>
    </w:rPr>
  </w:style>
  <w:style w:type="paragraph" w:customStyle="1" w:styleId="TableStyle">
    <w:name w:val="Table Style"/>
    <w:basedOn w:val="Normalwithspacebetween"/>
    <w:link w:val="TableStyleChar"/>
    <w:qFormat/>
    <w:rsid w:val="009D2ABD"/>
    <w:pPr>
      <w:spacing w:before="0" w:after="0"/>
      <w:jc w:val="center"/>
    </w:pPr>
    <w:rPr>
      <w:rFonts w:asciiTheme="majorHAnsi" w:eastAsiaTheme="minorHAnsi" w:hAnsiTheme="majorHAnsi"/>
      <w:sz w:val="22"/>
      <w:szCs w:val="22"/>
    </w:rPr>
  </w:style>
  <w:style w:type="paragraph" w:styleId="EndnoteText">
    <w:name w:val="endnote text"/>
    <w:basedOn w:val="Normal"/>
    <w:link w:val="EndnoteTextChar"/>
    <w:uiPriority w:val="99"/>
    <w:semiHidden/>
    <w:unhideWhenUsed/>
    <w:rsid w:val="00E26E4C"/>
    <w:rPr>
      <w:rFonts w:ascii="Calibri" w:eastAsia="Calibri" w:hAnsi="Calibri" w:cs="Times New Roman"/>
      <w:sz w:val="20"/>
      <w:szCs w:val="20"/>
    </w:rPr>
  </w:style>
  <w:style w:type="character" w:customStyle="1" w:styleId="TableStyleChar">
    <w:name w:val="Table Style Char"/>
    <w:basedOn w:val="NormalwithspacebetweenChar"/>
    <w:link w:val="TableStyle"/>
    <w:rsid w:val="009D2ABD"/>
    <w:rPr>
      <w:rFonts w:asciiTheme="majorHAnsi" w:eastAsiaTheme="minorHAnsi" w:hAnsiTheme="majorHAnsi"/>
      <w:sz w:val="22"/>
      <w:szCs w:val="22"/>
    </w:rPr>
  </w:style>
  <w:style w:type="character" w:customStyle="1" w:styleId="EndnoteTextChar">
    <w:name w:val="Endnote Text Char"/>
    <w:basedOn w:val="DefaultParagraphFont"/>
    <w:link w:val="EndnoteText"/>
    <w:uiPriority w:val="99"/>
    <w:semiHidden/>
    <w:rsid w:val="00E26E4C"/>
    <w:rPr>
      <w:rFonts w:ascii="Calibri" w:eastAsia="Calibri" w:hAnsi="Calibri" w:cs="Times New Roman"/>
      <w:sz w:val="20"/>
      <w:szCs w:val="20"/>
    </w:rPr>
  </w:style>
  <w:style w:type="character" w:styleId="EndnoteReference">
    <w:name w:val="endnote reference"/>
    <w:basedOn w:val="DefaultParagraphFont"/>
    <w:uiPriority w:val="99"/>
    <w:unhideWhenUsed/>
    <w:rsid w:val="00E26E4C"/>
    <w:rPr>
      <w:vertAlign w:val="superscript"/>
    </w:rPr>
  </w:style>
  <w:style w:type="character" w:customStyle="1" w:styleId="ms-rtethemeforecolor-2-0">
    <w:name w:val="ms-rtethemeforecolor-2-0"/>
    <w:basedOn w:val="DefaultParagraphFont"/>
    <w:rsid w:val="00395686"/>
  </w:style>
  <w:style w:type="paragraph" w:customStyle="1" w:styleId="Default">
    <w:name w:val="Default"/>
    <w:rsid w:val="00BE0DF5"/>
    <w:pPr>
      <w:autoSpaceDE w:val="0"/>
      <w:autoSpaceDN w:val="0"/>
      <w:adjustRightInd w:val="0"/>
    </w:pPr>
    <w:rPr>
      <w:rFonts w:ascii="Times New Roman" w:eastAsia="Calibri" w:hAnsi="Times New Roman" w:cs="Times New Roman"/>
      <w:color w:val="000000"/>
    </w:rPr>
  </w:style>
  <w:style w:type="paragraph" w:styleId="PlainText">
    <w:name w:val="Plain Text"/>
    <w:basedOn w:val="Normal"/>
    <w:link w:val="PlainTextChar"/>
    <w:uiPriority w:val="99"/>
    <w:unhideWhenUsed/>
    <w:rsid w:val="00AA70C2"/>
    <w:rPr>
      <w:rFonts w:ascii="Calibri" w:eastAsia="Calibri" w:hAnsi="Calibri" w:cs="Times New Roman"/>
      <w:szCs w:val="21"/>
    </w:rPr>
  </w:style>
  <w:style w:type="character" w:customStyle="1" w:styleId="PlainTextChar">
    <w:name w:val="Plain Text Char"/>
    <w:basedOn w:val="DefaultParagraphFont"/>
    <w:link w:val="PlainText"/>
    <w:uiPriority w:val="99"/>
    <w:rsid w:val="00AA70C2"/>
    <w:rPr>
      <w:rFonts w:ascii="Calibri" w:eastAsia="Calibri" w:hAnsi="Calibri" w:cs="Times New Roman"/>
      <w:szCs w:val="21"/>
    </w:rPr>
  </w:style>
  <w:style w:type="character" w:styleId="LineNumber">
    <w:name w:val="line number"/>
    <w:basedOn w:val="DefaultParagraphFont"/>
    <w:uiPriority w:val="99"/>
    <w:semiHidden/>
    <w:unhideWhenUsed/>
    <w:rsid w:val="00EC4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832585">
      <w:bodyDiv w:val="1"/>
      <w:marLeft w:val="0"/>
      <w:marRight w:val="0"/>
      <w:marTop w:val="0"/>
      <w:marBottom w:val="0"/>
      <w:divBdr>
        <w:top w:val="none" w:sz="0" w:space="0" w:color="auto"/>
        <w:left w:val="none" w:sz="0" w:space="0" w:color="auto"/>
        <w:bottom w:val="none" w:sz="0" w:space="0" w:color="auto"/>
        <w:right w:val="none" w:sz="0" w:space="0" w:color="auto"/>
      </w:divBdr>
    </w:div>
    <w:div w:id="370881864">
      <w:bodyDiv w:val="1"/>
      <w:marLeft w:val="0"/>
      <w:marRight w:val="0"/>
      <w:marTop w:val="0"/>
      <w:marBottom w:val="0"/>
      <w:divBdr>
        <w:top w:val="none" w:sz="0" w:space="0" w:color="auto"/>
        <w:left w:val="none" w:sz="0" w:space="0" w:color="auto"/>
        <w:bottom w:val="none" w:sz="0" w:space="0" w:color="auto"/>
        <w:right w:val="none" w:sz="0" w:space="0" w:color="auto"/>
      </w:divBdr>
    </w:div>
    <w:div w:id="391003905">
      <w:bodyDiv w:val="1"/>
      <w:marLeft w:val="0"/>
      <w:marRight w:val="0"/>
      <w:marTop w:val="0"/>
      <w:marBottom w:val="0"/>
      <w:divBdr>
        <w:top w:val="none" w:sz="0" w:space="0" w:color="auto"/>
        <w:left w:val="none" w:sz="0" w:space="0" w:color="auto"/>
        <w:bottom w:val="none" w:sz="0" w:space="0" w:color="auto"/>
        <w:right w:val="none" w:sz="0" w:space="0" w:color="auto"/>
      </w:divBdr>
    </w:div>
    <w:div w:id="586575949">
      <w:bodyDiv w:val="1"/>
      <w:marLeft w:val="0"/>
      <w:marRight w:val="0"/>
      <w:marTop w:val="0"/>
      <w:marBottom w:val="0"/>
      <w:divBdr>
        <w:top w:val="none" w:sz="0" w:space="0" w:color="auto"/>
        <w:left w:val="none" w:sz="0" w:space="0" w:color="auto"/>
        <w:bottom w:val="none" w:sz="0" w:space="0" w:color="auto"/>
        <w:right w:val="none" w:sz="0" w:space="0" w:color="auto"/>
      </w:divBdr>
    </w:div>
    <w:div w:id="740954343">
      <w:bodyDiv w:val="1"/>
      <w:marLeft w:val="0"/>
      <w:marRight w:val="0"/>
      <w:marTop w:val="0"/>
      <w:marBottom w:val="0"/>
      <w:divBdr>
        <w:top w:val="none" w:sz="0" w:space="0" w:color="auto"/>
        <w:left w:val="none" w:sz="0" w:space="0" w:color="auto"/>
        <w:bottom w:val="none" w:sz="0" w:space="0" w:color="auto"/>
        <w:right w:val="none" w:sz="0" w:space="0" w:color="auto"/>
      </w:divBdr>
    </w:div>
    <w:div w:id="940336619">
      <w:bodyDiv w:val="1"/>
      <w:marLeft w:val="0"/>
      <w:marRight w:val="0"/>
      <w:marTop w:val="0"/>
      <w:marBottom w:val="0"/>
      <w:divBdr>
        <w:top w:val="none" w:sz="0" w:space="0" w:color="auto"/>
        <w:left w:val="none" w:sz="0" w:space="0" w:color="auto"/>
        <w:bottom w:val="none" w:sz="0" w:space="0" w:color="auto"/>
        <w:right w:val="none" w:sz="0" w:space="0" w:color="auto"/>
      </w:divBdr>
      <w:divsChild>
        <w:div w:id="1103183768">
          <w:marLeft w:val="0"/>
          <w:marRight w:val="0"/>
          <w:marTop w:val="0"/>
          <w:marBottom w:val="0"/>
          <w:divBdr>
            <w:top w:val="none" w:sz="0" w:space="0" w:color="auto"/>
            <w:left w:val="none" w:sz="0" w:space="0" w:color="auto"/>
            <w:bottom w:val="none" w:sz="0" w:space="0" w:color="auto"/>
            <w:right w:val="none" w:sz="0" w:space="0" w:color="auto"/>
          </w:divBdr>
        </w:div>
        <w:div w:id="1311865255">
          <w:marLeft w:val="0"/>
          <w:marRight w:val="0"/>
          <w:marTop w:val="0"/>
          <w:marBottom w:val="0"/>
          <w:divBdr>
            <w:top w:val="none" w:sz="0" w:space="0" w:color="auto"/>
            <w:left w:val="none" w:sz="0" w:space="0" w:color="auto"/>
            <w:bottom w:val="none" w:sz="0" w:space="0" w:color="auto"/>
            <w:right w:val="none" w:sz="0" w:space="0" w:color="auto"/>
          </w:divBdr>
        </w:div>
      </w:divsChild>
    </w:div>
    <w:div w:id="971181078">
      <w:bodyDiv w:val="1"/>
      <w:marLeft w:val="0"/>
      <w:marRight w:val="0"/>
      <w:marTop w:val="0"/>
      <w:marBottom w:val="0"/>
      <w:divBdr>
        <w:top w:val="none" w:sz="0" w:space="0" w:color="auto"/>
        <w:left w:val="none" w:sz="0" w:space="0" w:color="auto"/>
        <w:bottom w:val="none" w:sz="0" w:space="0" w:color="auto"/>
        <w:right w:val="none" w:sz="0" w:space="0" w:color="auto"/>
      </w:divBdr>
    </w:div>
    <w:div w:id="1534536051">
      <w:bodyDiv w:val="1"/>
      <w:marLeft w:val="0"/>
      <w:marRight w:val="0"/>
      <w:marTop w:val="0"/>
      <w:marBottom w:val="0"/>
      <w:divBdr>
        <w:top w:val="none" w:sz="0" w:space="0" w:color="auto"/>
        <w:left w:val="none" w:sz="0" w:space="0" w:color="auto"/>
        <w:bottom w:val="none" w:sz="0" w:space="0" w:color="auto"/>
        <w:right w:val="none" w:sz="0" w:space="0" w:color="auto"/>
      </w:divBdr>
    </w:div>
    <w:div w:id="1733891600">
      <w:bodyDiv w:val="1"/>
      <w:marLeft w:val="0"/>
      <w:marRight w:val="0"/>
      <w:marTop w:val="0"/>
      <w:marBottom w:val="0"/>
      <w:divBdr>
        <w:top w:val="none" w:sz="0" w:space="0" w:color="auto"/>
        <w:left w:val="none" w:sz="0" w:space="0" w:color="auto"/>
        <w:bottom w:val="none" w:sz="0" w:space="0" w:color="auto"/>
        <w:right w:val="none" w:sz="0" w:space="0" w:color="auto"/>
      </w:divBdr>
    </w:div>
    <w:div w:id="1806464260">
      <w:bodyDiv w:val="1"/>
      <w:marLeft w:val="0"/>
      <w:marRight w:val="0"/>
      <w:marTop w:val="0"/>
      <w:marBottom w:val="0"/>
      <w:divBdr>
        <w:top w:val="none" w:sz="0" w:space="0" w:color="auto"/>
        <w:left w:val="none" w:sz="0" w:space="0" w:color="auto"/>
        <w:bottom w:val="none" w:sz="0" w:space="0" w:color="auto"/>
        <w:right w:val="none" w:sz="0" w:space="0" w:color="auto"/>
      </w:divBdr>
      <w:divsChild>
        <w:div w:id="1382363579">
          <w:marLeft w:val="0"/>
          <w:marRight w:val="0"/>
          <w:marTop w:val="0"/>
          <w:marBottom w:val="0"/>
          <w:divBdr>
            <w:top w:val="none" w:sz="0" w:space="0" w:color="auto"/>
            <w:left w:val="none" w:sz="0" w:space="0" w:color="auto"/>
            <w:bottom w:val="none" w:sz="0" w:space="0" w:color="auto"/>
            <w:right w:val="none" w:sz="0" w:space="0" w:color="auto"/>
          </w:divBdr>
        </w:div>
      </w:divsChild>
    </w:div>
    <w:div w:id="19457270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117" Type="http://schemas.openxmlformats.org/officeDocument/2006/relationships/header" Target="header3.xml"/><Relationship Id="rId21" Type="http://schemas.openxmlformats.org/officeDocument/2006/relationships/chart" Target="charts/chart2.xml"/><Relationship Id="rId42" Type="http://schemas.openxmlformats.org/officeDocument/2006/relationships/hyperlink" Target="http://maps.google.com/maps?f=q&amp;hl=en&amp;geocode=&amp;time=&amp;date=&amp;ttype=&amp;q=1227+2nd+Street%2c+Santa+Monica%2c+CA+90401&amp;sll=34.013467%2c-118.452337&amp;sspn=0.007203%2c0.014291&amp;ie=UTF8&amp;ll=34.018341%2c-118.49978&amp;spn=0.007203%2c0.014291&amp;z=16&amp;iwloc=addr&amp;om=1" TargetMode="External"/><Relationship Id="rId47" Type="http://schemas.openxmlformats.org/officeDocument/2006/relationships/image" Target="media/image6.jpg"/><Relationship Id="rId63" Type="http://schemas.openxmlformats.org/officeDocument/2006/relationships/hyperlink" Target="http://www.smc.edu/AboutSMC/Accreditation/Documents/2016/Introduction/ER4_BP1265_and_BP1266_Superintendent_President_Succession_and_Selection.pdf" TargetMode="External"/><Relationship Id="rId68" Type="http://schemas.openxmlformats.org/officeDocument/2006/relationships/hyperlink" Target="http://www.smc.edu/AboutSMC/Accreditation/Documents/2016/Introduction/ER4_BP1262_and_BP1263_Duties_of_the_Secretary_to_the_BT.pdf" TargetMode="External"/><Relationship Id="rId84" Type="http://schemas.openxmlformats.org/officeDocument/2006/relationships/hyperlink" Target="http://www.smc.edu/AboutSMC/Accreditation/Documents/2016/Introduction/CP_p27-28_College_Catalog_2015-16_Associate_Degree%20Requirements.pdf" TargetMode="External"/><Relationship Id="rId89" Type="http://schemas.openxmlformats.org/officeDocument/2006/relationships/hyperlink" Target="http://www.smc.edu/AboutSMC/Accreditation/Documents/2016/Introduction/CP_Institution-Set-or-Minimum-Set-Standards_FAQ.pdf" TargetMode="External"/><Relationship Id="rId112" Type="http://schemas.openxmlformats.org/officeDocument/2006/relationships/hyperlink" Target="http://www.smc.edu/AboutSMC/Accreditation/Documents/2016/Introduction/CP_Screenshot_Athletics_Webpage_CCCAA_link.pdf" TargetMode="External"/><Relationship Id="rId16" Type="http://schemas.openxmlformats.org/officeDocument/2006/relationships/header" Target="header1.xml"/><Relationship Id="rId107" Type="http://schemas.openxmlformats.org/officeDocument/2006/relationships/hyperlink" Target="http://www.smc.edu/AboutSMC/Accreditation/Documents/2016/Introduction/CP_p176_College_Catalog_2015-16_RespiratoryTherapy_Pgm_Accrediting_Agency.pdf" TargetMode="External"/><Relationship Id="rId11" Type="http://schemas.openxmlformats.org/officeDocument/2006/relationships/oleObject" Target="embeddings/oleObject2.bin"/><Relationship Id="rId32" Type="http://schemas.openxmlformats.org/officeDocument/2006/relationships/chart" Target="charts/chart13.xml"/><Relationship Id="rId37" Type="http://schemas.openxmlformats.org/officeDocument/2006/relationships/footer" Target="footer4.xml"/><Relationship Id="rId53" Type="http://schemas.openxmlformats.org/officeDocument/2006/relationships/hyperlink" Target="http://www.smc.edu/AboutSMC/Accreditation/Documents/2016/Introduction/ER_1_Part43_CEC_Sections_70900_and_70901.pdf" TargetMode="External"/><Relationship Id="rId58" Type="http://schemas.openxmlformats.org/officeDocument/2006/relationships/hyperlink" Target="http://www.smc.edu/AboutSMC/Accreditation/Documents/2016/Introduction/ER3_pp59-61_College_Catalog_2015-16.pdf" TargetMode="External"/><Relationship Id="rId74" Type="http://schemas.openxmlformats.org/officeDocument/2006/relationships/hyperlink" Target="http://www.smc.edu/AboutSMC/Accreditation/Documents/2016/Introduction/ER5_Financial_Aid_Annual_Program_Review_2014-15_and_2015-16.pdf" TargetMode="External"/><Relationship Id="rId79" Type="http://schemas.openxmlformats.org/officeDocument/2006/relationships/hyperlink" Target="http://www.smc.edu/AboutSMC/Accreditation/Documents/2016/Introduction/CP_P387_College_Catalog_2015-16_Reporting_Complaints.pdf" TargetMode="External"/><Relationship Id="rId102" Type="http://schemas.openxmlformats.org/officeDocument/2006/relationships/hyperlink" Target="http://www.smc.edu/AboutSMC/Accreditation/Documents/2016/Introduction/CP_2015-16_College_Catalog_Accreditation_Notice.pdf" TargetMode="External"/><Relationship Id="rId5" Type="http://schemas.openxmlformats.org/officeDocument/2006/relationships/webSettings" Target="webSettings.xml"/><Relationship Id="rId90" Type="http://schemas.openxmlformats.org/officeDocument/2006/relationships/hyperlink" Target="http://www.smc.edu/AboutSMC/Accreditation/Documents/2016/Introduction/CP_Institution-Set_Standards_Academic_Programs.pdf" TargetMode="External"/><Relationship Id="rId95" Type="http://schemas.openxmlformats.org/officeDocument/2006/relationships/hyperlink" Target="http://www.smc.edu/AboutSMC/Accreditation/Documents/2016/Introduction/CP_p24-25_College_Catalog_2015-16_Transferring_from_SMC.pdf" TargetMode="External"/><Relationship Id="rId22" Type="http://schemas.openxmlformats.org/officeDocument/2006/relationships/chart" Target="charts/chart3.xml"/><Relationship Id="rId27" Type="http://schemas.openxmlformats.org/officeDocument/2006/relationships/chart" Target="charts/chart8.xml"/><Relationship Id="rId43" Type="http://schemas.openxmlformats.org/officeDocument/2006/relationships/hyperlink" Target="http://maps.google.com/maps?f=q&amp;hl=en&amp;geocode=&amp;time=&amp;date=&amp;ttype=&amp;q=3171+S.+Bundy+Drive%2c+Los+Angeles%2c+CA+90066&amp;sll=34.024921%2c-118.461349&amp;sspn=0.007203%2c0.014291&amp;ie=UTF8&amp;ll=34.017149%2c-118.442981&amp;spn=0.007203%2c0.014291&amp;z=16&amp;iwloc=addr&amp;om=1" TargetMode="External"/><Relationship Id="rId48" Type="http://schemas.openxmlformats.org/officeDocument/2006/relationships/image" Target="media/image7.jpg"/><Relationship Id="rId64" Type="http://schemas.openxmlformats.org/officeDocument/2006/relationships/hyperlink" Target="http://www.smc.edu/AboutSMC/Accreditation/Documents/2016/Introduction/ER4_BP1280_Evaluation_of_the_Superintendent_President.pdf" TargetMode="External"/><Relationship Id="rId69" Type="http://schemas.openxmlformats.org/officeDocument/2006/relationships/hyperlink" Target="http://www.smc.edu/AboutSMC/Accreditation/Documents/2016/Introduction/ER4_BT_Minutes_2-3-15_Dr_Tsang_Announcing_Retirement.pdf" TargetMode="External"/><Relationship Id="rId113" Type="http://schemas.openxmlformats.org/officeDocument/2006/relationships/hyperlink" Target="file://fileserver/workgroup/Accreditation/Accreditation%20Steering%20Committee/Standard%20IIID%20Evidence/IIID5_A-133_report_from_SMCCD_Audit_Report_2015.pdf" TargetMode="External"/><Relationship Id="rId118" Type="http://schemas.openxmlformats.org/officeDocument/2006/relationships/fontTable" Target="fontTable.xml"/><Relationship Id="rId80" Type="http://schemas.openxmlformats.org/officeDocument/2006/relationships/hyperlink" Target="http://www.smc.edu/AboutSMC/Accreditation/Documents/2016/Introduction/CP_AR_4000_StudentServices.pdf" TargetMode="External"/><Relationship Id="rId85" Type="http://schemas.openxmlformats.org/officeDocument/2006/relationships/hyperlink" Target="http://www.smc.edu/AboutSMC/Accreditation/Documents/2016/Introduction/CP_Article_5300_AcademicStandards.pdf" TargetMode="External"/><Relationship Id="rId12" Type="http://schemas.openxmlformats.org/officeDocument/2006/relationships/image" Target="media/image3.emf"/><Relationship Id="rId17" Type="http://schemas.openxmlformats.org/officeDocument/2006/relationships/header" Target="header2.xml"/><Relationship Id="rId33" Type="http://schemas.openxmlformats.org/officeDocument/2006/relationships/chart" Target="charts/chart14.xml"/><Relationship Id="rId38" Type="http://schemas.openxmlformats.org/officeDocument/2006/relationships/hyperlink" Target="http://maps.google.com/maps?f=q&amp;hl=en&amp;geocode=&amp;time=&amp;date=&amp;ttype=&amp;q=1900+Pico+Boulevard%2c+Santa+Monica%2c+CA+90405&amp;sll=34.012329%2c-118.485188&amp;sspn=0.007204%2c0.014291&amp;ie=UTF8&amp;ll=34.020066%2c-118.470469&amp;spn=0.007203%2c0.014291&amp;z=16&amp;iwloc=addr&amp;om=1" TargetMode="External"/><Relationship Id="rId59" Type="http://schemas.openxmlformats.org/officeDocument/2006/relationships/hyperlink" Target="http://www.smc.edu/AboutSMC/Accreditation/Documents/2016/Introduction/ER3_Active_ADTs_July2016_CCCCO.pdf" TargetMode="External"/><Relationship Id="rId103" Type="http://schemas.openxmlformats.org/officeDocument/2006/relationships/hyperlink" Target="http://www.accjc.org/" TargetMode="External"/><Relationship Id="rId108" Type="http://schemas.openxmlformats.org/officeDocument/2006/relationships/hyperlink" Target="http://www.smc.edu/AboutSMC/Accreditation/Documents/2016/Introduction/CP_Screenshot_Nursing_Accrediting_Agencies.pdf" TargetMode="External"/><Relationship Id="rId54" Type="http://schemas.openxmlformats.org/officeDocument/2006/relationships/hyperlink" Target="http://www.smc.edu/AboutSMC/Accreditation/Documents/2016/Introduction/ER1_Accreditation_2010_Action_Letter_from_the_ACCJC_06-30-2010.pdf" TargetMode="External"/><Relationship Id="rId70" Type="http://schemas.openxmlformats.org/officeDocument/2006/relationships/hyperlink" Target="http://www.smc.edu/AboutSMC/Accreditation/Documents/2016/Introduction/ER4_BT_Minutes_3-3-2015_Appt_of_Jeff_Shimizu_Interim_Superintendent-President.pdf" TargetMode="External"/><Relationship Id="rId75" Type="http://schemas.openxmlformats.org/officeDocument/2006/relationships/hyperlink" Target="http://www.smc.edu/AboutSMC/Accreditation/Documents/2016/Introduction/ER5_Financial_Aid_SixYear_Program_Review_2013-14.pdf" TargetMode="External"/><Relationship Id="rId91" Type="http://schemas.openxmlformats.org/officeDocument/2006/relationships/hyperlink" Target="http://www.smc.edu/AboutSMC/Accreditation/Documents/2016/Introduction/CP_MPE_2014-2015.pdf" TargetMode="External"/><Relationship Id="rId96" Type="http://schemas.openxmlformats.org/officeDocument/2006/relationships/hyperlink" Target="http://www.smc.edu/AboutSMC/Accreditation/Documents/2016/Introduction/CP_Screenshot_Transfer_Center.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4.xml"/><Relationship Id="rId28" Type="http://schemas.openxmlformats.org/officeDocument/2006/relationships/chart" Target="charts/chart9.xml"/><Relationship Id="rId49" Type="http://schemas.openxmlformats.org/officeDocument/2006/relationships/image" Target="media/image8.jpg"/><Relationship Id="rId114" Type="http://schemas.openxmlformats.org/officeDocument/2006/relationships/hyperlink" Target="http://www.smc.edu/AboutSMC/Accreditation/Documents/2016/Introduction/CP_BP6250_Contracts_for_Services.pdf" TargetMode="External"/><Relationship Id="rId119" Type="http://schemas.openxmlformats.org/officeDocument/2006/relationships/theme" Target="theme/theme1.xml"/><Relationship Id="rId44" Type="http://schemas.openxmlformats.org/officeDocument/2006/relationships/oleObject" Target="embeddings/oleObject6.bin"/><Relationship Id="rId60" Type="http://schemas.openxmlformats.org/officeDocument/2006/relationships/hyperlink" Target="http://www.smc.edu/AboutSMC/Accreditation/Documents/2016/Introduction/ER3_pp58-187_College_Catalog_2015-16.pdf" TargetMode="External"/><Relationship Id="rId65" Type="http://schemas.openxmlformats.org/officeDocument/2006/relationships/hyperlink" Target="http://www.smc.edu/AboutSMC/Accreditation/Documents/2016/Introduction/ER4_Kathryn_E_Jeffery_Superintendendent_President.pdf" TargetMode="External"/><Relationship Id="rId81" Type="http://schemas.openxmlformats.org/officeDocument/2006/relationships/hyperlink" Target="http://www.smc.edu/AboutSMC/Accreditation/Documents/2016/Introduction/CP_Brown_Bag_Announcements.pdf" TargetMode="External"/><Relationship Id="rId86" Type="http://schemas.openxmlformats.org/officeDocument/2006/relationships/hyperlink" Target="http://www.smc.edu/AboutSMC/Accreditation/Documents/2016/Introduction/CP_Title5_Section55063_Min_Rqmts_for_Associates_Degree.pdf"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footer" Target="footer1.xml"/><Relationship Id="rId39" Type="http://schemas.openxmlformats.org/officeDocument/2006/relationships/hyperlink" Target="http://maps.google.com/maps?f=q&amp;hl=en&amp;geocode=&amp;time=&amp;date=&amp;ttype=&amp;q=1310+11th+Street%2c+Santa+Monica%2c+CA+90401&amp;sll=34.020066%2c-118.470469&amp;sspn=0.007203%2c0.014291&amp;ie=UTF8&amp;ll=34.024121%2c-118.489974&amp;spn=0.007203%2c0.014291&amp;z=16&amp;iwloc=addr&amp;om=1" TargetMode="External"/><Relationship Id="rId109" Type="http://schemas.openxmlformats.org/officeDocument/2006/relationships/hyperlink" Target="http://www.smc.edu/AboutSMC/Accreditation/Documents/2016/Introduction/CP_Screenshot_RespTherapy_Accrediting_Agencies.pdf" TargetMode="External"/><Relationship Id="rId34" Type="http://schemas.openxmlformats.org/officeDocument/2006/relationships/chart" Target="charts/chart15.xml"/><Relationship Id="rId50" Type="http://schemas.openxmlformats.org/officeDocument/2006/relationships/image" Target="media/image9.jpg"/><Relationship Id="rId55" Type="http://schemas.openxmlformats.org/officeDocument/2006/relationships/hyperlink" Target="http://www.smc.edu/AboutSMC/Accreditation/Documents/2016/Introduction/ER2_Student_Headcount_Past_Six_Years.pdf" TargetMode="External"/><Relationship Id="rId76" Type="http://schemas.openxmlformats.org/officeDocument/2006/relationships/hyperlink" Target="http://www.smc.edu/AboutSMC/Accreditation/Documents/2016/Introduction/ER5_Two_and_Three_Year_Student_Loan_Default_Rate_2008-2012.pdf" TargetMode="External"/><Relationship Id="rId97" Type="http://schemas.openxmlformats.org/officeDocument/2006/relationships/hyperlink" Target="http://www.smc.edu/AboutSMC/Accreditation/Documents/2016/Introduction/CP_p29-36_College_Catalog_2015-16_Transfer_Credit.pdf" TargetMode="External"/><Relationship Id="rId104" Type="http://schemas.openxmlformats.org/officeDocument/2006/relationships/hyperlink" Target="http://www.smc.edu/AboutSMC/Accreditation/Documents/2016/Introduction/CP_p8_College%20Catalog_2015-16_EEO&amp;Nondiscrimination_Policy_Violations.pdf" TargetMode="External"/><Relationship Id="rId120"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hyperlink" Target="http://www.smc.edu/AboutSMC/Accreditation/Documents/2016/Introduction/ER4_ACCJC_Directory_Info_2016.pdf" TargetMode="External"/><Relationship Id="rId92" Type="http://schemas.openxmlformats.org/officeDocument/2006/relationships/hyperlink" Target="http://www.smc.edu/AboutSMC/Accreditation/Documents/2016/Introduction/CP_MPE_2015-2016.pdf" TargetMode="External"/><Relationship Id="rId2" Type="http://schemas.openxmlformats.org/officeDocument/2006/relationships/numbering" Target="numbering.xml"/><Relationship Id="rId29" Type="http://schemas.openxmlformats.org/officeDocument/2006/relationships/chart" Target="charts/chart10.xml"/><Relationship Id="rId24" Type="http://schemas.openxmlformats.org/officeDocument/2006/relationships/chart" Target="charts/chart5.xml"/><Relationship Id="rId40" Type="http://schemas.openxmlformats.org/officeDocument/2006/relationships/hyperlink" Target="http://maps.google.com/maps?f=q&amp;hl=en&amp;geocode=&amp;time=&amp;date=&amp;ttype=&amp;q=1660+Stewart+Street%2c+Santa+Monica%2c+CA+90404&amp;sll=34.024121%2c-118.489974&amp;sspn=0.007203%2c0.014291&amp;ie=UTF8&amp;ll=34.032603%2c-118.467529&amp;spn=0.007202%2c0.014291&amp;z=16&amp;iwloc=addr&amp;om=1" TargetMode="External"/><Relationship Id="rId45" Type="http://schemas.openxmlformats.org/officeDocument/2006/relationships/image" Target="media/image4.jpg"/><Relationship Id="rId66" Type="http://schemas.openxmlformats.org/officeDocument/2006/relationships/hyperlink" Target="http://www.smc.edu/AboutSMC/Accreditation/Documents/2016/Introduction/ER4_BT_Minutes_11-17-15_Appt_of_Dr_Jeffery_Superintendent-President.pdf" TargetMode="External"/><Relationship Id="rId87" Type="http://schemas.openxmlformats.org/officeDocument/2006/relationships/hyperlink" Target="http://www.smc.edu/AboutSMC/Accreditation/Documents/2016/Introduction/CP_CCCCO_Hours_and_Units_Calculations_for_Credit_Courses_10-5-15.pdf" TargetMode="External"/><Relationship Id="rId110" Type="http://schemas.openxmlformats.org/officeDocument/2006/relationships/hyperlink" Target="http://www.smc.edu/AboutSMC/Accreditation/Documents/2016/Introduction/CP_Screenshot_CosmetologyDepartment_Board_of_Barbaring&amp;Cosmetology_Link.pdf" TargetMode="External"/><Relationship Id="rId115" Type="http://schemas.openxmlformats.org/officeDocument/2006/relationships/hyperlink" Target="http://www.smc.edu/AboutSMC/Accreditation/Documents/2016/Introduction/CP_BP6255_Delegation_of_Authority.pdf" TargetMode="External"/><Relationship Id="rId61" Type="http://schemas.openxmlformats.org/officeDocument/2006/relationships/hyperlink" Target="http://www.smc.edu/AboutSMC/Accreditation/Documents/2016/Introduction/ER3_Substantive_Change_Proposal_Bachelor_of_Science_in_Interaction_Design.pdf" TargetMode="External"/><Relationship Id="rId82" Type="http://schemas.openxmlformats.org/officeDocument/2006/relationships/hyperlink" Target="http://www.smc.edu/AboutSMC/Accreditation/Documents/2016/Introduction/CP_BT_Minutes_6-7-2016.pdf" TargetMode="External"/><Relationship Id="rId19" Type="http://schemas.openxmlformats.org/officeDocument/2006/relationships/footer" Target="footer2.xml"/><Relationship Id="rId14" Type="http://schemas.openxmlformats.org/officeDocument/2006/relationships/oleObject" Target="embeddings/oleObject4.bin"/><Relationship Id="rId30" Type="http://schemas.openxmlformats.org/officeDocument/2006/relationships/chart" Target="charts/chart11.xml"/><Relationship Id="rId35" Type="http://schemas.openxmlformats.org/officeDocument/2006/relationships/chart" Target="charts/chart16.xml"/><Relationship Id="rId56" Type="http://schemas.openxmlformats.org/officeDocument/2006/relationships/hyperlink" Target="http://www.smc.edu/AboutSMC/Accreditation/Documents/2016/Introduction/ER2_Educational_Goal.pdf" TargetMode="External"/><Relationship Id="rId77" Type="http://schemas.openxmlformats.org/officeDocument/2006/relationships/hyperlink" Target="http://www.smc.edu/AboutSMC/Accreditation/Documents/2016/Introduction/CP_Accreditation_Steering_Committee_Members.pdf" TargetMode="External"/><Relationship Id="rId100" Type="http://schemas.openxmlformats.org/officeDocument/2006/relationships/hyperlink" Target="file://fileserver/workgroup/Accreditation/Accreditation%20Steering%20Committee/Standard%20IIC%20Evidence/IIC6_MyEdPlan_Degree_Audit.jpg" TargetMode="External"/><Relationship Id="rId105" Type="http://schemas.openxmlformats.org/officeDocument/2006/relationships/hyperlink" Target="http://www.smc.edu/AboutSMC/Accreditation/Documents/2016/Introduction/CP_p384-385_College%20Catalog_2015-16_MatriculationComplaintsAndAppeals.pdf" TargetMode="External"/><Relationship Id="rId8" Type="http://schemas.openxmlformats.org/officeDocument/2006/relationships/image" Target="media/image1.emf"/><Relationship Id="rId51" Type="http://schemas.openxmlformats.org/officeDocument/2006/relationships/image" Target="media/image10.jpg"/><Relationship Id="rId72" Type="http://schemas.openxmlformats.org/officeDocument/2006/relationships/hyperlink" Target="http://www.smc.edu/AboutSMC/Accreditation/Documents/2016/Introduction/ER5_Audit_and_EPA_Information.pdf" TargetMode="External"/><Relationship Id="rId93" Type="http://schemas.openxmlformats.org/officeDocument/2006/relationships/hyperlink" Target="http://www.smc.edu/AboutSMC/Accreditation/Documents/2016/Introduction/CP_p21-22_College_Catalog_2015-16_Fees&amp;Tuition.pdf" TargetMode="External"/><Relationship Id="rId98" Type="http://schemas.openxmlformats.org/officeDocument/2006/relationships/hyperlink" Target="http://www.assist.org" TargetMode="External"/><Relationship Id="rId121" Type="http://schemas.openxmlformats.org/officeDocument/2006/relationships/customXml" Target="../customXml/item3.xml"/><Relationship Id="rId3" Type="http://schemas.openxmlformats.org/officeDocument/2006/relationships/styles" Target="styles.xml"/><Relationship Id="rId25" Type="http://schemas.openxmlformats.org/officeDocument/2006/relationships/chart" Target="charts/chart6.xml"/><Relationship Id="rId46" Type="http://schemas.openxmlformats.org/officeDocument/2006/relationships/image" Target="media/image5.jpg"/><Relationship Id="rId67" Type="http://schemas.openxmlformats.org/officeDocument/2006/relationships/hyperlink" Target="http://www.smc.edu/AboutSMC/Accreditation/Documents/2016/Introduction/ER4_Duties_of_CEO_signed_by_CEO_and_BoardChair.pdf" TargetMode="External"/><Relationship Id="rId116" Type="http://schemas.openxmlformats.org/officeDocument/2006/relationships/hyperlink" Target="http://www.smc.edu/AboutSMC/Accreditation/Documents/2016/Introduction/CP_BP2115_Inst_Accountability.pdf" TargetMode="External"/><Relationship Id="rId20" Type="http://schemas.openxmlformats.org/officeDocument/2006/relationships/chart" Target="charts/chart1.xml"/><Relationship Id="rId41" Type="http://schemas.openxmlformats.org/officeDocument/2006/relationships/hyperlink" Target="http://maps.google.com/maps?f=q&amp;hl=en&amp;geocode=&amp;time=&amp;date=&amp;ttype=&amp;q=2800+Airport+Avenue%2c+Santa+Monica%2c+CA+90405&amp;sll=34.032603%2c-118.467529&amp;sspn=0.007202%2c0.014291&amp;ie=UTF8&amp;ll=34.013467%2c-118.452337&amp;spn=0.007203%2c0.014291&amp;z=16&amp;iwloc=addr&amp;om=1" TargetMode="External"/><Relationship Id="rId62" Type="http://schemas.openxmlformats.org/officeDocument/2006/relationships/hyperlink" Target="http://www.smc.edu/AboutSMC/Accreditation/Documents/2016/Introduction/ER3_ACCJC_Letter_Approving_BS_SubChg_12-10-15.pdf" TargetMode="External"/><Relationship Id="rId83" Type="http://schemas.openxmlformats.org/officeDocument/2006/relationships/hyperlink" Target="http://www.smc.edu/AboutSMC/Accreditation/Documents/2016/Introduction/CP_www.smc.edu_AboutSMC_Accreditation_Pages_Accreditation.pdf" TargetMode="External"/><Relationship Id="rId88" Type="http://schemas.openxmlformats.org/officeDocument/2006/relationships/hyperlink" Target="http://www.smc.edu/AboutSMC/Accreditation/Documents/2016/Introduction/CP_2016_Dashboard_Final.pdf" TargetMode="External"/><Relationship Id="rId111" Type="http://schemas.openxmlformats.org/officeDocument/2006/relationships/hyperlink" Target="http://www.smccorsairs.com/landing.index" TargetMode="External"/><Relationship Id="rId15" Type="http://schemas.openxmlformats.org/officeDocument/2006/relationships/oleObject" Target="embeddings/oleObject5.bin"/><Relationship Id="rId36" Type="http://schemas.openxmlformats.org/officeDocument/2006/relationships/footer" Target="footer3.xml"/><Relationship Id="rId57" Type="http://schemas.openxmlformats.org/officeDocument/2006/relationships/hyperlink" Target="http://www.smc.edu/AboutSMC/Accreditation/Documents/2016/Introduction/ER2_Degrees_and_Certificates_Awarded.pdf" TargetMode="External"/><Relationship Id="rId106" Type="http://schemas.openxmlformats.org/officeDocument/2006/relationships/hyperlink" Target="http://www.smc.edu/AboutSMC/Accreditation/Documents/2016/Introduction/CP_p159_College_Catalog_2015-16_Nursing_Pgm_Accrediting_Agencies.pdf" TargetMode="External"/><Relationship Id="rId10" Type="http://schemas.openxmlformats.org/officeDocument/2006/relationships/oleObject" Target="embeddings/oleObject1.bin"/><Relationship Id="rId31" Type="http://schemas.openxmlformats.org/officeDocument/2006/relationships/chart" Target="charts/chart12.xml"/><Relationship Id="rId52" Type="http://schemas.openxmlformats.org/officeDocument/2006/relationships/oleObject" Target="embeddings/oleObject7.bin"/><Relationship Id="rId73" Type="http://schemas.openxmlformats.org/officeDocument/2006/relationships/hyperlink" Target="http://www.smc.edu/AboutSMC/Accreditation/Documents/2016/Introduction/ER5_Audit_Reports_2010-11_through_2014-15.pdf" TargetMode="External"/><Relationship Id="rId78" Type="http://schemas.openxmlformats.org/officeDocument/2006/relationships/hyperlink" Target="http://www.smc.edu/AboutSMC/Accreditation/Documents/2016/Introduction/CP_Student_Complaints_Hearings_and_Appeals.pdf" TargetMode="External"/><Relationship Id="rId94" Type="http://schemas.openxmlformats.org/officeDocument/2006/relationships/hyperlink" Target="http://www.smc.edu/AboutSMC/Accreditation/Documents/2016/Introduction/CP_AR_4111.5_&amp;_4111.6_Transfer_Credit.pdf" TargetMode="External"/><Relationship Id="rId99" Type="http://schemas.openxmlformats.org/officeDocument/2006/relationships/hyperlink" Target="file://fileserver/workgroup/Accreditation/Accreditation%20Steering%20Committee/Standard%20IIC%20Evidence/IIC6_Screenshot_Transcript_Evaluation_Log.pdf" TargetMode="External"/><Relationship Id="rId101" Type="http://schemas.openxmlformats.org/officeDocument/2006/relationships/hyperlink" Target="http://www.smc.edu/AboutSMC/Accreditation/Documents/2016/Introduction/CP_Screenshot_Representation_of_Accreditation_Status.pdf" TargetMode="External"/><Relationship Id="rId122" Type="http://schemas.openxmlformats.org/officeDocument/2006/relationships/customXml" Target="../customXml/item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Credit and Non-Credit Course</a:t>
            </a:r>
            <a:r>
              <a:rPr lang="en-US" baseline="0"/>
              <a:t> Enrollments</a:t>
            </a:r>
          </a:p>
          <a:p>
            <a:pPr>
              <a:defRPr/>
            </a:pPr>
            <a:r>
              <a:rPr lang="en-US" baseline="0"/>
              <a:t>2009-2010 to 2014-2015</a:t>
            </a:r>
            <a:endParaRPr lang="en-US"/>
          </a:p>
        </c:rich>
      </c:tx>
      <c:overlay val="0"/>
      <c:spPr>
        <a:noFill/>
        <a:ln>
          <a:noFill/>
        </a:ln>
        <a:effectLst/>
      </c:spPr>
    </c:title>
    <c:autoTitleDeleted val="0"/>
    <c:plotArea>
      <c:layout/>
      <c:barChart>
        <c:barDir val="col"/>
        <c:grouping val="stacked"/>
        <c:varyColors val="0"/>
        <c:ser>
          <c:idx val="0"/>
          <c:order val="0"/>
          <c:tx>
            <c:strRef>
              <c:f>Sheet1!$B$1</c:f>
              <c:strCache>
                <c:ptCount val="1"/>
                <c:pt idx="0">
                  <c:v>Credit</c:v>
                </c:pt>
              </c:strCache>
            </c:strRef>
          </c:tx>
          <c:spPr>
            <a:solidFill>
              <a:schemeClr val="accent5"/>
            </a:solidFill>
            <a:ln>
              <a:solidFill>
                <a:schemeClr val="accent5">
                  <a:lumMod val="50000"/>
                </a:schemeClr>
              </a:solidFill>
            </a:ln>
            <a:effectLst/>
          </c:spPr>
          <c:invertIfNegative val="0"/>
          <c:cat>
            <c:strRef>
              <c:f>Sheet1!$A$2:$A$7</c:f>
              <c:strCache>
                <c:ptCount val="6"/>
                <c:pt idx="0">
                  <c:v>2009-2010</c:v>
                </c:pt>
                <c:pt idx="1">
                  <c:v>2010-2011</c:v>
                </c:pt>
                <c:pt idx="2">
                  <c:v>2011-2012</c:v>
                </c:pt>
                <c:pt idx="3">
                  <c:v>2012-2013</c:v>
                </c:pt>
                <c:pt idx="4">
                  <c:v>2013-2014</c:v>
                </c:pt>
                <c:pt idx="5">
                  <c:v>2014-2015</c:v>
                </c:pt>
              </c:strCache>
            </c:strRef>
          </c:cat>
          <c:val>
            <c:numRef>
              <c:f>Sheet1!$B$2:$B$7</c:f>
              <c:numCache>
                <c:formatCode>_(* #,##0_);_(* \(#,##0\);_(* "-"??_);_(@_)</c:formatCode>
                <c:ptCount val="6"/>
                <c:pt idx="0">
                  <c:v>213485</c:v>
                </c:pt>
                <c:pt idx="1">
                  <c:v>210178</c:v>
                </c:pt>
                <c:pt idx="2">
                  <c:v>199294</c:v>
                </c:pt>
                <c:pt idx="3">
                  <c:v>194288</c:v>
                </c:pt>
                <c:pt idx="4">
                  <c:v>198218</c:v>
                </c:pt>
                <c:pt idx="5">
                  <c:v>202945</c:v>
                </c:pt>
              </c:numCache>
            </c:numRef>
          </c:val>
        </c:ser>
        <c:ser>
          <c:idx val="1"/>
          <c:order val="1"/>
          <c:tx>
            <c:strRef>
              <c:f>Sheet1!$C$1</c:f>
              <c:strCache>
                <c:ptCount val="1"/>
                <c:pt idx="0">
                  <c:v>Non-Credit</c:v>
                </c:pt>
              </c:strCache>
            </c:strRef>
          </c:tx>
          <c:spPr>
            <a:solidFill>
              <a:schemeClr val="accent5">
                <a:lumMod val="40000"/>
                <a:lumOff val="60000"/>
              </a:schemeClr>
            </a:solidFill>
            <a:ln>
              <a:solidFill>
                <a:schemeClr val="accent5"/>
              </a:solidFill>
            </a:ln>
            <a:effectLst/>
          </c:spPr>
          <c:invertIfNegative val="0"/>
          <c:cat>
            <c:strRef>
              <c:f>Sheet1!$A$2:$A$7</c:f>
              <c:strCache>
                <c:ptCount val="6"/>
                <c:pt idx="0">
                  <c:v>2009-2010</c:v>
                </c:pt>
                <c:pt idx="1">
                  <c:v>2010-2011</c:v>
                </c:pt>
                <c:pt idx="2">
                  <c:v>2011-2012</c:v>
                </c:pt>
                <c:pt idx="3">
                  <c:v>2012-2013</c:v>
                </c:pt>
                <c:pt idx="4">
                  <c:v>2013-2014</c:v>
                </c:pt>
                <c:pt idx="5">
                  <c:v>2014-2015</c:v>
                </c:pt>
              </c:strCache>
            </c:strRef>
          </c:cat>
          <c:val>
            <c:numRef>
              <c:f>Sheet1!$C$2:$C$7</c:f>
              <c:numCache>
                <c:formatCode>_(* #,##0_);_(* \(#,##0\);_(* "-"??_);_(@_)</c:formatCode>
                <c:ptCount val="6"/>
                <c:pt idx="0">
                  <c:v>31663</c:v>
                </c:pt>
                <c:pt idx="1">
                  <c:v>30119</c:v>
                </c:pt>
                <c:pt idx="2">
                  <c:v>25677</c:v>
                </c:pt>
                <c:pt idx="3">
                  <c:v>20730</c:v>
                </c:pt>
                <c:pt idx="4">
                  <c:v>20591</c:v>
                </c:pt>
                <c:pt idx="5">
                  <c:v>21157</c:v>
                </c:pt>
              </c:numCache>
            </c:numRef>
          </c:val>
        </c:ser>
        <c:dLbls>
          <c:showLegendKey val="0"/>
          <c:showVal val="0"/>
          <c:showCatName val="0"/>
          <c:showSerName val="0"/>
          <c:showPercent val="0"/>
          <c:showBubbleSize val="0"/>
        </c:dLbls>
        <c:gapWidth val="219"/>
        <c:overlap val="100"/>
        <c:axId val="829926176"/>
        <c:axId val="829919120"/>
      </c:barChart>
      <c:lineChart>
        <c:grouping val="standard"/>
        <c:varyColors val="0"/>
        <c:ser>
          <c:idx val="2"/>
          <c:order val="2"/>
          <c:tx>
            <c:strRef>
              <c:f>Sheet1!$D$1</c:f>
              <c:strCache>
                <c:ptCount val="1"/>
                <c:pt idx="0">
                  <c:v>Total</c:v>
                </c:pt>
              </c:strCache>
            </c:strRef>
          </c:tx>
          <c:spPr>
            <a:ln>
              <a:solidFill>
                <a:schemeClr val="accent5">
                  <a:lumMod val="50000"/>
                </a:schemeClr>
              </a:solidFill>
            </a:ln>
          </c:spPr>
          <c:marker>
            <c:symbol val="triangle"/>
            <c:size val="7"/>
            <c:spPr>
              <a:solidFill>
                <a:schemeClr val="accent5">
                  <a:lumMod val="50000"/>
                </a:schemeClr>
              </a:solidFill>
            </c:spPr>
          </c:marker>
          <c:cat>
            <c:strRef>
              <c:f>Sheet1!$A$2:$A$7</c:f>
              <c:strCache>
                <c:ptCount val="6"/>
                <c:pt idx="0">
                  <c:v>2009-2010</c:v>
                </c:pt>
                <c:pt idx="1">
                  <c:v>2010-2011</c:v>
                </c:pt>
                <c:pt idx="2">
                  <c:v>2011-2012</c:v>
                </c:pt>
                <c:pt idx="3">
                  <c:v>2012-2013</c:v>
                </c:pt>
                <c:pt idx="4">
                  <c:v>2013-2014</c:v>
                </c:pt>
                <c:pt idx="5">
                  <c:v>2014-2015</c:v>
                </c:pt>
              </c:strCache>
            </c:strRef>
          </c:cat>
          <c:val>
            <c:numRef>
              <c:f>Sheet1!$D$2:$D$7</c:f>
              <c:numCache>
                <c:formatCode>_(* #,##0_);_(* \(#,##0\);_(* "-"??_);_(@_)</c:formatCode>
                <c:ptCount val="6"/>
                <c:pt idx="0">
                  <c:v>245148</c:v>
                </c:pt>
                <c:pt idx="1">
                  <c:v>240297</c:v>
                </c:pt>
                <c:pt idx="2">
                  <c:v>224971</c:v>
                </c:pt>
                <c:pt idx="3">
                  <c:v>215018</c:v>
                </c:pt>
                <c:pt idx="4">
                  <c:v>218809</c:v>
                </c:pt>
                <c:pt idx="5">
                  <c:v>224102</c:v>
                </c:pt>
              </c:numCache>
            </c:numRef>
          </c:val>
          <c:smooth val="0"/>
        </c:ser>
        <c:dLbls>
          <c:showLegendKey val="0"/>
          <c:showVal val="0"/>
          <c:showCatName val="0"/>
          <c:showSerName val="0"/>
          <c:showPercent val="0"/>
          <c:showBubbleSize val="0"/>
        </c:dLbls>
        <c:marker val="1"/>
        <c:smooth val="0"/>
        <c:axId val="829926176"/>
        <c:axId val="829919120"/>
      </c:lineChart>
      <c:catAx>
        <c:axId val="82992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829919120"/>
        <c:crosses val="autoZero"/>
        <c:auto val="1"/>
        <c:lblAlgn val="ctr"/>
        <c:lblOffset val="100"/>
        <c:noMultiLvlLbl val="0"/>
      </c:catAx>
      <c:valAx>
        <c:axId val="829919120"/>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vert="horz"/>
          <a:lstStyle/>
          <a:p>
            <a:pPr>
              <a:defRPr/>
            </a:pPr>
            <a:endParaRPr lang="en-US"/>
          </a:p>
        </c:txPr>
        <c:crossAx val="829926176"/>
        <c:crosses val="autoZero"/>
        <c:crossBetween val="between"/>
      </c:valAx>
      <c:dTable>
        <c:showHorzBorder val="1"/>
        <c:showVertBorder val="1"/>
        <c:showOutline val="1"/>
        <c:showKeys val="1"/>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US" b="1"/>
              <a:t>First-time Freshmen English Placement Levels</a:t>
            </a:r>
          </a:p>
        </c:rich>
      </c:tx>
      <c:overlay val="0"/>
      <c:spPr>
        <a:noFill/>
        <a:ln>
          <a:noFill/>
        </a:ln>
        <a:effectLst/>
      </c:spPr>
    </c:title>
    <c:autoTitleDeleted val="0"/>
    <c:plotArea>
      <c:layout/>
      <c:barChart>
        <c:barDir val="col"/>
        <c:grouping val="percentStacked"/>
        <c:varyColors val="0"/>
        <c:ser>
          <c:idx val="0"/>
          <c:order val="0"/>
          <c:tx>
            <c:strRef>
              <c:f>Sheet1!$B$1</c:f>
              <c:strCache>
                <c:ptCount val="1"/>
                <c:pt idx="0">
                  <c:v>Basic Skills</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2010               (N = 4,898)</c:v>
                </c:pt>
                <c:pt idx="1">
                  <c:v>2011               (N = 4,676)</c:v>
                </c:pt>
                <c:pt idx="2">
                  <c:v>2012               (N = 4,456)</c:v>
                </c:pt>
                <c:pt idx="3">
                  <c:v>2013               (N = 4,338)</c:v>
                </c:pt>
                <c:pt idx="4">
                  <c:v>2014               (N = 4,300)</c:v>
                </c:pt>
                <c:pt idx="5">
                  <c:v>2015               (N = 4,619)</c:v>
                </c:pt>
              </c:strCache>
            </c:strRef>
          </c:cat>
          <c:val>
            <c:numRef>
              <c:f>Sheet1!$B$2:$B$7</c:f>
              <c:numCache>
                <c:formatCode>0.0%</c:formatCode>
                <c:ptCount val="6"/>
                <c:pt idx="0">
                  <c:v>0.66169865251122895</c:v>
                </c:pt>
                <c:pt idx="1">
                  <c:v>0.67215568862275499</c:v>
                </c:pt>
                <c:pt idx="2">
                  <c:v>0.653500897666068</c:v>
                </c:pt>
                <c:pt idx="3">
                  <c:v>0.62586445366528398</c:v>
                </c:pt>
                <c:pt idx="4">
                  <c:v>0.64209302325581397</c:v>
                </c:pt>
                <c:pt idx="5">
                  <c:v>0.65468716172331698</c:v>
                </c:pt>
              </c:numCache>
            </c:numRef>
          </c:val>
        </c:ser>
        <c:ser>
          <c:idx val="1"/>
          <c:order val="1"/>
          <c:tx>
            <c:strRef>
              <c:f>Sheet1!$C$1</c:f>
              <c:strCache>
                <c:ptCount val="1"/>
                <c:pt idx="0">
                  <c:v>Transfer Level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2010               (N = 4,898)</c:v>
                </c:pt>
                <c:pt idx="1">
                  <c:v>2011               (N = 4,676)</c:v>
                </c:pt>
                <c:pt idx="2">
                  <c:v>2012               (N = 4,456)</c:v>
                </c:pt>
                <c:pt idx="3">
                  <c:v>2013               (N = 4,338)</c:v>
                </c:pt>
                <c:pt idx="4">
                  <c:v>2014               (N = 4,300)</c:v>
                </c:pt>
                <c:pt idx="5">
                  <c:v>2015               (N = 4,619)</c:v>
                </c:pt>
              </c:strCache>
            </c:strRef>
          </c:cat>
          <c:val>
            <c:numRef>
              <c:f>Sheet1!$C$2:$C$7</c:f>
              <c:numCache>
                <c:formatCode>0.0%</c:formatCode>
                <c:ptCount val="6"/>
                <c:pt idx="0">
                  <c:v>0.338301347488771</c:v>
                </c:pt>
                <c:pt idx="1">
                  <c:v>0.32784431137724601</c:v>
                </c:pt>
                <c:pt idx="2">
                  <c:v>0.346499102333932</c:v>
                </c:pt>
                <c:pt idx="3">
                  <c:v>0.37413554633471602</c:v>
                </c:pt>
                <c:pt idx="4">
                  <c:v>0.35790697674418598</c:v>
                </c:pt>
                <c:pt idx="5">
                  <c:v>0.34531283827668302</c:v>
                </c:pt>
              </c:numCache>
            </c:numRef>
          </c:val>
        </c:ser>
        <c:dLbls>
          <c:showLegendKey val="0"/>
          <c:showVal val="0"/>
          <c:showCatName val="0"/>
          <c:showSerName val="0"/>
          <c:showPercent val="0"/>
          <c:showBubbleSize val="0"/>
        </c:dLbls>
        <c:gapWidth val="75"/>
        <c:overlap val="100"/>
        <c:axId val="927488624"/>
        <c:axId val="927478432"/>
      </c:barChart>
      <c:catAx>
        <c:axId val="92748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27478432"/>
        <c:crosses val="autoZero"/>
        <c:auto val="1"/>
        <c:lblAlgn val="ctr"/>
        <c:lblOffset val="100"/>
        <c:noMultiLvlLbl val="0"/>
      </c:catAx>
      <c:valAx>
        <c:axId val="927478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27488624"/>
        <c:crosses val="autoZero"/>
        <c:crossBetween val="between"/>
      </c:valAx>
      <c:spPr>
        <a:noFill/>
        <a:ln>
          <a:noFill/>
        </a:ln>
        <a:effectLst/>
      </c:spPr>
    </c:plotArea>
    <c:legend>
      <c:legendPos val="b"/>
      <c:layout>
        <c:manualLayout>
          <c:xMode val="edge"/>
          <c:yMode val="edge"/>
          <c:x val="0.15478589821314501"/>
          <c:y val="0.90612970253718295"/>
          <c:w val="0.70889755599204096"/>
          <c:h val="6.7828630796150494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US" b="1"/>
              <a:t>First-time Freshmen Math Placement Levels</a:t>
            </a:r>
          </a:p>
        </c:rich>
      </c:tx>
      <c:overlay val="0"/>
      <c:spPr>
        <a:noFill/>
        <a:ln>
          <a:noFill/>
        </a:ln>
        <a:effectLst/>
      </c:spPr>
    </c:title>
    <c:autoTitleDeleted val="0"/>
    <c:plotArea>
      <c:layout/>
      <c:barChart>
        <c:barDir val="col"/>
        <c:grouping val="percentStacked"/>
        <c:varyColors val="0"/>
        <c:ser>
          <c:idx val="0"/>
          <c:order val="0"/>
          <c:tx>
            <c:strRef>
              <c:f>Sheet1!$B$1</c:f>
              <c:strCache>
                <c:ptCount val="1"/>
                <c:pt idx="0">
                  <c:v>Basic Skills</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2010               (N = 6,089)</c:v>
                </c:pt>
                <c:pt idx="1">
                  <c:v>2011               (N = 5,858)</c:v>
                </c:pt>
                <c:pt idx="2">
                  <c:v>2012               (N = 5,104)</c:v>
                </c:pt>
                <c:pt idx="3">
                  <c:v>2013               (N = 5,047)</c:v>
                </c:pt>
                <c:pt idx="4">
                  <c:v>2014               (N = 5,164)</c:v>
                </c:pt>
                <c:pt idx="5">
                  <c:v>2015               (N = 5,626)</c:v>
                </c:pt>
              </c:strCache>
            </c:strRef>
          </c:cat>
          <c:val>
            <c:numRef>
              <c:f>Sheet1!$B$2:$B$7</c:f>
              <c:numCache>
                <c:formatCode>0.0%</c:formatCode>
                <c:ptCount val="6"/>
                <c:pt idx="0">
                  <c:v>0.58745278370832599</c:v>
                </c:pt>
                <c:pt idx="1">
                  <c:v>0.58210993513144405</c:v>
                </c:pt>
                <c:pt idx="2">
                  <c:v>0.57249216300940398</c:v>
                </c:pt>
                <c:pt idx="3">
                  <c:v>0.54685952050723197</c:v>
                </c:pt>
                <c:pt idx="4">
                  <c:v>0.53718048024787002</c:v>
                </c:pt>
                <c:pt idx="5">
                  <c:v>0.54390330607891901</c:v>
                </c:pt>
              </c:numCache>
            </c:numRef>
          </c:val>
        </c:ser>
        <c:ser>
          <c:idx val="1"/>
          <c:order val="1"/>
          <c:tx>
            <c:strRef>
              <c:f>Sheet1!$C$1</c:f>
              <c:strCache>
                <c:ptCount val="1"/>
                <c:pt idx="0">
                  <c:v>Degree Applicable, Nontransferable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2010               (N = 6,089)</c:v>
                </c:pt>
                <c:pt idx="1">
                  <c:v>2011               (N = 5,858)</c:v>
                </c:pt>
                <c:pt idx="2">
                  <c:v>2012               (N = 5,104)</c:v>
                </c:pt>
                <c:pt idx="3">
                  <c:v>2013               (N = 5,047)</c:v>
                </c:pt>
                <c:pt idx="4">
                  <c:v>2014               (N = 5,164)</c:v>
                </c:pt>
                <c:pt idx="5">
                  <c:v>2015               (N = 5,626)</c:v>
                </c:pt>
              </c:strCache>
            </c:strRef>
          </c:cat>
          <c:val>
            <c:numRef>
              <c:f>Sheet1!$C$2:$C$7</c:f>
              <c:numCache>
                <c:formatCode>0.0%</c:formatCode>
                <c:ptCount val="6"/>
                <c:pt idx="0">
                  <c:v>0.104779109870258</c:v>
                </c:pt>
                <c:pt idx="1">
                  <c:v>0.120177534994879</c:v>
                </c:pt>
                <c:pt idx="2">
                  <c:v>0.11735893416927901</c:v>
                </c:pt>
                <c:pt idx="3">
                  <c:v>0.118288091935803</c:v>
                </c:pt>
                <c:pt idx="4">
                  <c:v>0.12277304415182</c:v>
                </c:pt>
                <c:pt idx="5">
                  <c:v>0.11393530039104199</c:v>
                </c:pt>
              </c:numCache>
            </c:numRef>
          </c:val>
        </c:ser>
        <c:ser>
          <c:idx val="2"/>
          <c:order val="2"/>
          <c:tx>
            <c:strRef>
              <c:f>Sheet1!$D$1</c:f>
              <c:strCache>
                <c:ptCount val="1"/>
                <c:pt idx="0">
                  <c:v>Transfer Level</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2010               (N = 6,089)</c:v>
                </c:pt>
                <c:pt idx="1">
                  <c:v>2011               (N = 5,858)</c:v>
                </c:pt>
                <c:pt idx="2">
                  <c:v>2012               (N = 5,104)</c:v>
                </c:pt>
                <c:pt idx="3">
                  <c:v>2013               (N = 5,047)</c:v>
                </c:pt>
                <c:pt idx="4">
                  <c:v>2014               (N = 5,164)</c:v>
                </c:pt>
                <c:pt idx="5">
                  <c:v>2015               (N = 5,626)</c:v>
                </c:pt>
              </c:strCache>
            </c:strRef>
          </c:cat>
          <c:val>
            <c:numRef>
              <c:f>Sheet1!$D$2:$D$7</c:f>
              <c:numCache>
                <c:formatCode>0.0%</c:formatCode>
                <c:ptCount val="6"/>
                <c:pt idx="0">
                  <c:v>0.307768106421416</c:v>
                </c:pt>
                <c:pt idx="1">
                  <c:v>0.29771252987367702</c:v>
                </c:pt>
                <c:pt idx="2">
                  <c:v>0.31014890282131702</c:v>
                </c:pt>
                <c:pt idx="3">
                  <c:v>0.334852387556965</c:v>
                </c:pt>
                <c:pt idx="4">
                  <c:v>0.34004647560030998</c:v>
                </c:pt>
                <c:pt idx="5">
                  <c:v>0.34216139353003899</c:v>
                </c:pt>
              </c:numCache>
            </c:numRef>
          </c:val>
        </c:ser>
        <c:dLbls>
          <c:showLegendKey val="0"/>
          <c:showVal val="0"/>
          <c:showCatName val="0"/>
          <c:showSerName val="0"/>
          <c:showPercent val="0"/>
          <c:showBubbleSize val="0"/>
        </c:dLbls>
        <c:gapWidth val="75"/>
        <c:overlap val="100"/>
        <c:axId val="927477256"/>
        <c:axId val="927486664"/>
      </c:barChart>
      <c:catAx>
        <c:axId val="927477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27486664"/>
        <c:crosses val="autoZero"/>
        <c:auto val="1"/>
        <c:lblAlgn val="ctr"/>
        <c:lblOffset val="100"/>
        <c:noMultiLvlLbl val="0"/>
      </c:catAx>
      <c:valAx>
        <c:axId val="927486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27477256"/>
        <c:crosses val="autoZero"/>
        <c:crossBetween val="between"/>
      </c:valAx>
      <c:spPr>
        <a:noFill/>
        <a:ln>
          <a:noFill/>
        </a:ln>
        <a:effectLst/>
      </c:spPr>
    </c:plotArea>
    <c:legend>
      <c:legendPos val="b"/>
      <c:layout>
        <c:manualLayout>
          <c:xMode val="edge"/>
          <c:yMode val="edge"/>
          <c:x val="0.15478589821314501"/>
          <c:y val="0.90612970253718295"/>
          <c:w val="0.74904621973621199"/>
          <c:h val="7.7518435195600602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Credit and Non-Credit Section Offerings</a:t>
            </a:r>
            <a:endParaRPr lang="en-US" baseline="0"/>
          </a:p>
          <a:p>
            <a:pPr>
              <a:defRPr/>
            </a:pPr>
            <a:r>
              <a:rPr lang="en-US" baseline="0"/>
              <a:t>2009-2010 to 2014-2015</a:t>
            </a:r>
            <a:endParaRPr lang="en-US"/>
          </a:p>
        </c:rich>
      </c:tx>
      <c:overlay val="0"/>
      <c:spPr>
        <a:noFill/>
        <a:ln>
          <a:noFill/>
        </a:ln>
        <a:effectLst/>
      </c:spPr>
    </c:title>
    <c:autoTitleDeleted val="0"/>
    <c:plotArea>
      <c:layout/>
      <c:barChart>
        <c:barDir val="col"/>
        <c:grouping val="stacked"/>
        <c:varyColors val="0"/>
        <c:ser>
          <c:idx val="0"/>
          <c:order val="0"/>
          <c:tx>
            <c:strRef>
              <c:f>Sheet1!$B$1</c:f>
              <c:strCache>
                <c:ptCount val="1"/>
                <c:pt idx="0">
                  <c:v>Credit</c:v>
                </c:pt>
              </c:strCache>
            </c:strRef>
          </c:tx>
          <c:spPr>
            <a:solidFill>
              <a:schemeClr val="accent5"/>
            </a:solidFill>
            <a:ln>
              <a:solidFill>
                <a:schemeClr val="accent5">
                  <a:lumMod val="50000"/>
                </a:schemeClr>
              </a:solidFill>
            </a:ln>
            <a:effectLst/>
          </c:spPr>
          <c:invertIfNegative val="0"/>
          <c:cat>
            <c:strRef>
              <c:f>Sheet1!$A$2:$A$7</c:f>
              <c:strCache>
                <c:ptCount val="6"/>
                <c:pt idx="0">
                  <c:v>2009-2010</c:v>
                </c:pt>
                <c:pt idx="1">
                  <c:v>2010-2011</c:v>
                </c:pt>
                <c:pt idx="2">
                  <c:v>2011-2012</c:v>
                </c:pt>
                <c:pt idx="3">
                  <c:v>2012-2013</c:v>
                </c:pt>
                <c:pt idx="4">
                  <c:v>2013-2014</c:v>
                </c:pt>
                <c:pt idx="5">
                  <c:v>2014-2015</c:v>
                </c:pt>
              </c:strCache>
            </c:strRef>
          </c:cat>
          <c:val>
            <c:numRef>
              <c:f>Sheet1!$B$2:$B$7</c:f>
              <c:numCache>
                <c:formatCode>_(* #,##0_);_(* \(#,##0\);_(* "-"??_);_(@_)</c:formatCode>
                <c:ptCount val="6"/>
                <c:pt idx="0">
                  <c:v>6535</c:v>
                </c:pt>
                <c:pt idx="1">
                  <c:v>6434</c:v>
                </c:pt>
                <c:pt idx="2">
                  <c:v>6170</c:v>
                </c:pt>
                <c:pt idx="3">
                  <c:v>6161</c:v>
                </c:pt>
                <c:pt idx="4">
                  <c:v>6501</c:v>
                </c:pt>
                <c:pt idx="5">
                  <c:v>6850</c:v>
                </c:pt>
              </c:numCache>
            </c:numRef>
          </c:val>
        </c:ser>
        <c:ser>
          <c:idx val="1"/>
          <c:order val="1"/>
          <c:tx>
            <c:strRef>
              <c:f>Sheet1!$C$1</c:f>
              <c:strCache>
                <c:ptCount val="1"/>
                <c:pt idx="0">
                  <c:v>Non-Credit</c:v>
                </c:pt>
              </c:strCache>
            </c:strRef>
          </c:tx>
          <c:spPr>
            <a:solidFill>
              <a:schemeClr val="accent5">
                <a:lumMod val="40000"/>
                <a:lumOff val="60000"/>
              </a:schemeClr>
            </a:solidFill>
            <a:ln>
              <a:solidFill>
                <a:schemeClr val="accent5"/>
              </a:solidFill>
            </a:ln>
            <a:effectLst/>
          </c:spPr>
          <c:invertIfNegative val="0"/>
          <c:cat>
            <c:strRef>
              <c:f>Sheet1!$A$2:$A$7</c:f>
              <c:strCache>
                <c:ptCount val="6"/>
                <c:pt idx="0">
                  <c:v>2009-2010</c:v>
                </c:pt>
                <c:pt idx="1">
                  <c:v>2010-2011</c:v>
                </c:pt>
                <c:pt idx="2">
                  <c:v>2011-2012</c:v>
                </c:pt>
                <c:pt idx="3">
                  <c:v>2012-2013</c:v>
                </c:pt>
                <c:pt idx="4">
                  <c:v>2013-2014</c:v>
                </c:pt>
                <c:pt idx="5">
                  <c:v>2014-2015</c:v>
                </c:pt>
              </c:strCache>
            </c:strRef>
          </c:cat>
          <c:val>
            <c:numRef>
              <c:f>Sheet1!$C$2:$C$7</c:f>
              <c:numCache>
                <c:formatCode>_(* #,##0_);_(* \(#,##0\);_(* "-"??_);_(@_)</c:formatCode>
                <c:ptCount val="6"/>
                <c:pt idx="0">
                  <c:v>757</c:v>
                </c:pt>
                <c:pt idx="1">
                  <c:v>648</c:v>
                </c:pt>
                <c:pt idx="2">
                  <c:v>534</c:v>
                </c:pt>
                <c:pt idx="3">
                  <c:v>416</c:v>
                </c:pt>
                <c:pt idx="4">
                  <c:v>461</c:v>
                </c:pt>
                <c:pt idx="5">
                  <c:v>466</c:v>
                </c:pt>
              </c:numCache>
            </c:numRef>
          </c:val>
        </c:ser>
        <c:dLbls>
          <c:showLegendKey val="0"/>
          <c:showVal val="0"/>
          <c:showCatName val="0"/>
          <c:showSerName val="0"/>
          <c:showPercent val="0"/>
          <c:showBubbleSize val="0"/>
        </c:dLbls>
        <c:gapWidth val="219"/>
        <c:overlap val="100"/>
        <c:axId val="927478824"/>
        <c:axId val="927485096"/>
      </c:barChart>
      <c:lineChart>
        <c:grouping val="standard"/>
        <c:varyColors val="0"/>
        <c:ser>
          <c:idx val="2"/>
          <c:order val="2"/>
          <c:tx>
            <c:strRef>
              <c:f>Sheet1!$D$1</c:f>
              <c:strCache>
                <c:ptCount val="1"/>
                <c:pt idx="0">
                  <c:v>Total</c:v>
                </c:pt>
              </c:strCache>
            </c:strRef>
          </c:tx>
          <c:spPr>
            <a:ln>
              <a:solidFill>
                <a:schemeClr val="accent5">
                  <a:lumMod val="50000"/>
                </a:schemeClr>
              </a:solidFill>
            </a:ln>
          </c:spPr>
          <c:marker>
            <c:symbol val="triangle"/>
            <c:size val="7"/>
            <c:spPr>
              <a:solidFill>
                <a:schemeClr val="accent5">
                  <a:lumMod val="50000"/>
                </a:schemeClr>
              </a:solidFill>
            </c:spPr>
          </c:marker>
          <c:cat>
            <c:strRef>
              <c:f>Sheet1!$A$2:$A$7</c:f>
              <c:strCache>
                <c:ptCount val="6"/>
                <c:pt idx="0">
                  <c:v>2009-2010</c:v>
                </c:pt>
                <c:pt idx="1">
                  <c:v>2010-2011</c:v>
                </c:pt>
                <c:pt idx="2">
                  <c:v>2011-2012</c:v>
                </c:pt>
                <c:pt idx="3">
                  <c:v>2012-2013</c:v>
                </c:pt>
                <c:pt idx="4">
                  <c:v>2013-2014</c:v>
                </c:pt>
                <c:pt idx="5">
                  <c:v>2014-2015</c:v>
                </c:pt>
              </c:strCache>
            </c:strRef>
          </c:cat>
          <c:val>
            <c:numRef>
              <c:f>Sheet1!$D$2:$D$7</c:f>
              <c:numCache>
                <c:formatCode>_(* #,##0_);_(* \(#,##0\);_(* "-"??_);_(@_)</c:formatCode>
                <c:ptCount val="6"/>
                <c:pt idx="0">
                  <c:v>7292</c:v>
                </c:pt>
                <c:pt idx="1">
                  <c:v>7082</c:v>
                </c:pt>
                <c:pt idx="2">
                  <c:v>6704</c:v>
                </c:pt>
                <c:pt idx="3">
                  <c:v>6577</c:v>
                </c:pt>
                <c:pt idx="4">
                  <c:v>6962</c:v>
                </c:pt>
                <c:pt idx="5">
                  <c:v>7316</c:v>
                </c:pt>
              </c:numCache>
            </c:numRef>
          </c:val>
          <c:smooth val="0"/>
        </c:ser>
        <c:dLbls>
          <c:showLegendKey val="0"/>
          <c:showVal val="0"/>
          <c:showCatName val="0"/>
          <c:showSerName val="0"/>
          <c:showPercent val="0"/>
          <c:showBubbleSize val="0"/>
        </c:dLbls>
        <c:marker val="1"/>
        <c:smooth val="0"/>
        <c:axId val="927478824"/>
        <c:axId val="927485096"/>
      </c:lineChart>
      <c:catAx>
        <c:axId val="927478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927485096"/>
        <c:crosses val="autoZero"/>
        <c:auto val="1"/>
        <c:lblAlgn val="ctr"/>
        <c:lblOffset val="100"/>
        <c:noMultiLvlLbl val="0"/>
      </c:catAx>
      <c:valAx>
        <c:axId val="92748509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vert="horz"/>
          <a:lstStyle/>
          <a:p>
            <a:pPr>
              <a:defRPr/>
            </a:pPr>
            <a:endParaRPr lang="en-US"/>
          </a:p>
        </c:txPr>
        <c:crossAx val="927478824"/>
        <c:crosses val="autoZero"/>
        <c:crossBetween val="between"/>
      </c:valAx>
      <c:dTable>
        <c:showHorzBorder val="1"/>
        <c:showVertBorder val="1"/>
        <c:showOutline val="1"/>
        <c:showKeys val="1"/>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Credit Section Offerings by Credit Type</a:t>
            </a:r>
            <a:endParaRPr lang="en-US" baseline="0"/>
          </a:p>
          <a:p>
            <a:pPr>
              <a:defRPr/>
            </a:pPr>
            <a:r>
              <a:rPr lang="en-US" baseline="0"/>
              <a:t>2009-2010 to 2014-2015</a:t>
            </a:r>
            <a:endParaRPr lang="en-US"/>
          </a:p>
        </c:rich>
      </c:tx>
      <c:overlay val="0"/>
      <c:spPr>
        <a:noFill/>
        <a:ln>
          <a:noFill/>
        </a:ln>
        <a:effectLst/>
      </c:spPr>
    </c:title>
    <c:autoTitleDeleted val="0"/>
    <c:plotArea>
      <c:layout/>
      <c:barChart>
        <c:barDir val="col"/>
        <c:grouping val="stacked"/>
        <c:varyColors val="0"/>
        <c:ser>
          <c:idx val="0"/>
          <c:order val="0"/>
          <c:tx>
            <c:strRef>
              <c:f>Sheet1!$B$1</c:f>
              <c:strCache>
                <c:ptCount val="1"/>
                <c:pt idx="0">
                  <c:v>Degree applicable</c:v>
                </c:pt>
              </c:strCache>
            </c:strRef>
          </c:tx>
          <c:spPr>
            <a:solidFill>
              <a:schemeClr val="accent5"/>
            </a:solidFill>
            <a:ln>
              <a:solidFill>
                <a:schemeClr val="accent5">
                  <a:lumMod val="50000"/>
                </a:schemeClr>
              </a:solidFill>
            </a:ln>
            <a:effectLst/>
          </c:spPr>
          <c:invertIfNegative val="0"/>
          <c:cat>
            <c:strRef>
              <c:f>Sheet1!$A$2:$A$7</c:f>
              <c:strCache>
                <c:ptCount val="6"/>
                <c:pt idx="0">
                  <c:v>2009-2010</c:v>
                </c:pt>
                <c:pt idx="1">
                  <c:v>2010-2011</c:v>
                </c:pt>
                <c:pt idx="2">
                  <c:v>2011-2012</c:v>
                </c:pt>
                <c:pt idx="3">
                  <c:v>2012-2013</c:v>
                </c:pt>
                <c:pt idx="4">
                  <c:v>2013-2014</c:v>
                </c:pt>
                <c:pt idx="5">
                  <c:v>2014-2015</c:v>
                </c:pt>
              </c:strCache>
            </c:strRef>
          </c:cat>
          <c:val>
            <c:numRef>
              <c:f>Sheet1!$B$2:$B$7</c:f>
              <c:numCache>
                <c:formatCode>_(* #,##0_);_(* \(#,##0\);_(* "-"??_);_(@_)</c:formatCode>
                <c:ptCount val="6"/>
                <c:pt idx="0">
                  <c:v>5815</c:v>
                </c:pt>
                <c:pt idx="1">
                  <c:v>5723</c:v>
                </c:pt>
                <c:pt idx="2">
                  <c:v>5524</c:v>
                </c:pt>
                <c:pt idx="3">
                  <c:v>5592</c:v>
                </c:pt>
                <c:pt idx="4">
                  <c:v>5960</c:v>
                </c:pt>
                <c:pt idx="5">
                  <c:v>6322</c:v>
                </c:pt>
              </c:numCache>
            </c:numRef>
          </c:val>
        </c:ser>
        <c:ser>
          <c:idx val="1"/>
          <c:order val="1"/>
          <c:tx>
            <c:strRef>
              <c:f>Sheet1!$C$1</c:f>
              <c:strCache>
                <c:ptCount val="1"/>
                <c:pt idx="0">
                  <c:v>Not degree applicable</c:v>
                </c:pt>
              </c:strCache>
            </c:strRef>
          </c:tx>
          <c:spPr>
            <a:solidFill>
              <a:schemeClr val="accent5">
                <a:lumMod val="40000"/>
                <a:lumOff val="60000"/>
              </a:schemeClr>
            </a:solidFill>
            <a:ln>
              <a:solidFill>
                <a:schemeClr val="accent5"/>
              </a:solidFill>
            </a:ln>
            <a:effectLst/>
          </c:spPr>
          <c:invertIfNegative val="0"/>
          <c:cat>
            <c:strRef>
              <c:f>Sheet1!$A$2:$A$7</c:f>
              <c:strCache>
                <c:ptCount val="6"/>
                <c:pt idx="0">
                  <c:v>2009-2010</c:v>
                </c:pt>
                <c:pt idx="1">
                  <c:v>2010-2011</c:v>
                </c:pt>
                <c:pt idx="2">
                  <c:v>2011-2012</c:v>
                </c:pt>
                <c:pt idx="3">
                  <c:v>2012-2013</c:v>
                </c:pt>
                <c:pt idx="4">
                  <c:v>2013-2014</c:v>
                </c:pt>
                <c:pt idx="5">
                  <c:v>2014-2015</c:v>
                </c:pt>
              </c:strCache>
            </c:strRef>
          </c:cat>
          <c:val>
            <c:numRef>
              <c:f>Sheet1!$C$2:$C$7</c:f>
              <c:numCache>
                <c:formatCode>General</c:formatCode>
                <c:ptCount val="6"/>
                <c:pt idx="0">
                  <c:v>720</c:v>
                </c:pt>
                <c:pt idx="1">
                  <c:v>711</c:v>
                </c:pt>
                <c:pt idx="2">
                  <c:v>646</c:v>
                </c:pt>
                <c:pt idx="3">
                  <c:v>569</c:v>
                </c:pt>
                <c:pt idx="4">
                  <c:v>541</c:v>
                </c:pt>
                <c:pt idx="5">
                  <c:v>528</c:v>
                </c:pt>
              </c:numCache>
            </c:numRef>
          </c:val>
        </c:ser>
        <c:dLbls>
          <c:showLegendKey val="0"/>
          <c:showVal val="0"/>
          <c:showCatName val="0"/>
          <c:showSerName val="0"/>
          <c:showPercent val="0"/>
          <c:showBubbleSize val="0"/>
        </c:dLbls>
        <c:gapWidth val="219"/>
        <c:overlap val="100"/>
        <c:axId val="927483920"/>
        <c:axId val="927489016"/>
      </c:barChart>
      <c:lineChart>
        <c:grouping val="standard"/>
        <c:varyColors val="0"/>
        <c:ser>
          <c:idx val="2"/>
          <c:order val="2"/>
          <c:tx>
            <c:strRef>
              <c:f>Sheet1!$D$1</c:f>
              <c:strCache>
                <c:ptCount val="1"/>
                <c:pt idx="0">
                  <c:v>Total</c:v>
                </c:pt>
              </c:strCache>
            </c:strRef>
          </c:tx>
          <c:spPr>
            <a:ln>
              <a:solidFill>
                <a:schemeClr val="accent5">
                  <a:lumMod val="50000"/>
                </a:schemeClr>
              </a:solidFill>
            </a:ln>
          </c:spPr>
          <c:marker>
            <c:symbol val="triangle"/>
            <c:size val="7"/>
            <c:spPr>
              <a:solidFill>
                <a:schemeClr val="accent5">
                  <a:lumMod val="50000"/>
                </a:schemeClr>
              </a:solidFill>
            </c:spPr>
          </c:marker>
          <c:cat>
            <c:strRef>
              <c:f>Sheet1!$A$2:$A$7</c:f>
              <c:strCache>
                <c:ptCount val="6"/>
                <c:pt idx="0">
                  <c:v>2009-2010</c:v>
                </c:pt>
                <c:pt idx="1">
                  <c:v>2010-2011</c:v>
                </c:pt>
                <c:pt idx="2">
                  <c:v>2011-2012</c:v>
                </c:pt>
                <c:pt idx="3">
                  <c:v>2012-2013</c:v>
                </c:pt>
                <c:pt idx="4">
                  <c:v>2013-2014</c:v>
                </c:pt>
                <c:pt idx="5">
                  <c:v>2014-2015</c:v>
                </c:pt>
              </c:strCache>
            </c:strRef>
          </c:cat>
          <c:val>
            <c:numRef>
              <c:f>Sheet1!$D$2:$D$7</c:f>
              <c:numCache>
                <c:formatCode>_(* #,##0_);_(* \(#,##0\);_(* "-"??_);_(@_)</c:formatCode>
                <c:ptCount val="6"/>
                <c:pt idx="0">
                  <c:v>6535</c:v>
                </c:pt>
                <c:pt idx="1">
                  <c:v>6434</c:v>
                </c:pt>
                <c:pt idx="2">
                  <c:v>6170</c:v>
                </c:pt>
                <c:pt idx="3">
                  <c:v>6161</c:v>
                </c:pt>
                <c:pt idx="4">
                  <c:v>6501</c:v>
                </c:pt>
                <c:pt idx="5">
                  <c:v>6850</c:v>
                </c:pt>
              </c:numCache>
            </c:numRef>
          </c:val>
          <c:smooth val="0"/>
        </c:ser>
        <c:dLbls>
          <c:showLegendKey val="0"/>
          <c:showVal val="0"/>
          <c:showCatName val="0"/>
          <c:showSerName val="0"/>
          <c:showPercent val="0"/>
          <c:showBubbleSize val="0"/>
        </c:dLbls>
        <c:marker val="1"/>
        <c:smooth val="0"/>
        <c:axId val="927483920"/>
        <c:axId val="927489016"/>
      </c:lineChart>
      <c:catAx>
        <c:axId val="92748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927489016"/>
        <c:crosses val="autoZero"/>
        <c:auto val="1"/>
        <c:lblAlgn val="ctr"/>
        <c:lblOffset val="100"/>
        <c:noMultiLvlLbl val="0"/>
      </c:catAx>
      <c:valAx>
        <c:axId val="92748901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vert="horz"/>
          <a:lstStyle/>
          <a:p>
            <a:pPr>
              <a:defRPr/>
            </a:pPr>
            <a:endParaRPr lang="en-US"/>
          </a:p>
        </c:txPr>
        <c:crossAx val="927483920"/>
        <c:crosses val="autoZero"/>
        <c:crossBetween val="between"/>
      </c:valAx>
      <c:dTable>
        <c:showHorzBorder val="1"/>
        <c:showVertBorder val="1"/>
        <c:showOutline val="1"/>
        <c:showKeys val="1"/>
        <c:txPr>
          <a:bodyPr/>
          <a:lstStyle/>
          <a:p>
            <a:pPr rtl="0">
              <a:defRPr sz="700"/>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Credit Section Offerings by Transfer</a:t>
            </a:r>
            <a:r>
              <a:rPr lang="en-US" baseline="0"/>
              <a:t> Status</a:t>
            </a:r>
          </a:p>
          <a:p>
            <a:pPr>
              <a:defRPr/>
            </a:pPr>
            <a:r>
              <a:rPr lang="en-US" baseline="0"/>
              <a:t>2009-2010 to 2014-2015</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UC and CSU Transferable</c:v>
                </c:pt>
              </c:strCache>
            </c:strRef>
          </c:tx>
          <c:spPr>
            <a:solidFill>
              <a:schemeClr val="accent5"/>
            </a:solidFill>
            <a:ln>
              <a:solidFill>
                <a:schemeClr val="accent5">
                  <a:lumMod val="50000"/>
                </a:schemeClr>
              </a:solidFill>
            </a:ln>
            <a:effectLst/>
          </c:spPr>
          <c:invertIfNegative val="0"/>
          <c:cat>
            <c:strRef>
              <c:f>Sheet1!$A$2:$A$7</c:f>
              <c:strCache>
                <c:ptCount val="6"/>
                <c:pt idx="0">
                  <c:v>2009-2010</c:v>
                </c:pt>
                <c:pt idx="1">
                  <c:v>2010-2011</c:v>
                </c:pt>
                <c:pt idx="2">
                  <c:v>2011-2012</c:v>
                </c:pt>
                <c:pt idx="3">
                  <c:v>2012-2013</c:v>
                </c:pt>
                <c:pt idx="4">
                  <c:v>2013-2014</c:v>
                </c:pt>
                <c:pt idx="5">
                  <c:v>2014-2015</c:v>
                </c:pt>
              </c:strCache>
            </c:strRef>
          </c:cat>
          <c:val>
            <c:numRef>
              <c:f>Sheet1!$B$2:$B$7</c:f>
              <c:numCache>
                <c:formatCode>_(* #,##0_);_(* \(#,##0\);_(* "-"??_);_(@_)</c:formatCode>
                <c:ptCount val="6"/>
                <c:pt idx="0">
                  <c:v>4231</c:v>
                </c:pt>
                <c:pt idx="1">
                  <c:v>4152</c:v>
                </c:pt>
                <c:pt idx="2">
                  <c:v>4040</c:v>
                </c:pt>
                <c:pt idx="3">
                  <c:v>4103</c:v>
                </c:pt>
                <c:pt idx="4">
                  <c:v>4419</c:v>
                </c:pt>
                <c:pt idx="5">
                  <c:v>4735</c:v>
                </c:pt>
              </c:numCache>
            </c:numRef>
          </c:val>
        </c:ser>
        <c:ser>
          <c:idx val="1"/>
          <c:order val="1"/>
          <c:tx>
            <c:strRef>
              <c:f>Sheet1!$C$1</c:f>
              <c:strCache>
                <c:ptCount val="1"/>
                <c:pt idx="0">
                  <c:v>CSU Transferable</c:v>
                </c:pt>
              </c:strCache>
            </c:strRef>
          </c:tx>
          <c:spPr>
            <a:solidFill>
              <a:schemeClr val="accent5">
                <a:lumMod val="40000"/>
                <a:lumOff val="60000"/>
              </a:schemeClr>
            </a:solidFill>
            <a:ln>
              <a:solidFill>
                <a:schemeClr val="accent5"/>
              </a:solidFill>
            </a:ln>
            <a:effectLst/>
          </c:spPr>
          <c:invertIfNegative val="0"/>
          <c:cat>
            <c:strRef>
              <c:f>Sheet1!$A$2:$A$7</c:f>
              <c:strCache>
                <c:ptCount val="6"/>
                <c:pt idx="0">
                  <c:v>2009-2010</c:v>
                </c:pt>
                <c:pt idx="1">
                  <c:v>2010-2011</c:v>
                </c:pt>
                <c:pt idx="2">
                  <c:v>2011-2012</c:v>
                </c:pt>
                <c:pt idx="3">
                  <c:v>2012-2013</c:v>
                </c:pt>
                <c:pt idx="4">
                  <c:v>2013-2014</c:v>
                </c:pt>
                <c:pt idx="5">
                  <c:v>2014-2015</c:v>
                </c:pt>
              </c:strCache>
            </c:strRef>
          </c:cat>
          <c:val>
            <c:numRef>
              <c:f>Sheet1!$C$2:$C$7</c:f>
              <c:numCache>
                <c:formatCode>_(* #,##0_);_(* \(#,##0\);_(* "-"??_);_(@_)</c:formatCode>
                <c:ptCount val="6"/>
                <c:pt idx="0">
                  <c:v>1062</c:v>
                </c:pt>
                <c:pt idx="1">
                  <c:v>1057</c:v>
                </c:pt>
                <c:pt idx="2">
                  <c:v>1004</c:v>
                </c:pt>
                <c:pt idx="3">
                  <c:v>1025</c:v>
                </c:pt>
                <c:pt idx="4">
                  <c:v>1080</c:v>
                </c:pt>
                <c:pt idx="5">
                  <c:v>1132</c:v>
                </c:pt>
              </c:numCache>
            </c:numRef>
          </c:val>
        </c:ser>
        <c:ser>
          <c:idx val="2"/>
          <c:order val="2"/>
          <c:tx>
            <c:strRef>
              <c:f>Sheet1!$D$1</c:f>
              <c:strCache>
                <c:ptCount val="1"/>
                <c:pt idx="0">
                  <c:v>Not transferable</c:v>
                </c:pt>
              </c:strCache>
            </c:strRef>
          </c:tx>
          <c:spPr>
            <a:ln>
              <a:solidFill>
                <a:schemeClr val="accent5">
                  <a:lumMod val="50000"/>
                </a:schemeClr>
              </a:solidFill>
            </a:ln>
          </c:spPr>
          <c:invertIfNegative val="0"/>
          <c:cat>
            <c:strRef>
              <c:f>Sheet1!$A$2:$A$7</c:f>
              <c:strCache>
                <c:ptCount val="6"/>
                <c:pt idx="0">
                  <c:v>2009-2010</c:v>
                </c:pt>
                <c:pt idx="1">
                  <c:v>2010-2011</c:v>
                </c:pt>
                <c:pt idx="2">
                  <c:v>2011-2012</c:v>
                </c:pt>
                <c:pt idx="3">
                  <c:v>2012-2013</c:v>
                </c:pt>
                <c:pt idx="4">
                  <c:v>2013-2014</c:v>
                </c:pt>
                <c:pt idx="5">
                  <c:v>2014-2015</c:v>
                </c:pt>
              </c:strCache>
            </c:strRef>
          </c:cat>
          <c:val>
            <c:numRef>
              <c:f>Sheet1!$D$2:$D$7</c:f>
              <c:numCache>
                <c:formatCode>_(* #,##0_);_(* \(#,##0\);_(* "-"??_);_(@_)</c:formatCode>
                <c:ptCount val="6"/>
                <c:pt idx="0">
                  <c:v>1242</c:v>
                </c:pt>
                <c:pt idx="1">
                  <c:v>1225</c:v>
                </c:pt>
                <c:pt idx="2">
                  <c:v>1126</c:v>
                </c:pt>
                <c:pt idx="3">
                  <c:v>1033</c:v>
                </c:pt>
                <c:pt idx="4">
                  <c:v>1002</c:v>
                </c:pt>
                <c:pt idx="5">
                  <c:v>983</c:v>
                </c:pt>
              </c:numCache>
            </c:numRef>
          </c:val>
        </c:ser>
        <c:dLbls>
          <c:showLegendKey val="0"/>
          <c:showVal val="0"/>
          <c:showCatName val="0"/>
          <c:showSerName val="0"/>
          <c:showPercent val="0"/>
          <c:showBubbleSize val="0"/>
        </c:dLbls>
        <c:gapWidth val="219"/>
        <c:axId val="927489408"/>
        <c:axId val="927480784"/>
      </c:barChart>
      <c:catAx>
        <c:axId val="92748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927480784"/>
        <c:crosses val="autoZero"/>
        <c:auto val="1"/>
        <c:lblAlgn val="ctr"/>
        <c:lblOffset val="100"/>
        <c:noMultiLvlLbl val="0"/>
      </c:catAx>
      <c:valAx>
        <c:axId val="927480784"/>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vert="horz"/>
          <a:lstStyle/>
          <a:p>
            <a:pPr>
              <a:defRPr/>
            </a:pPr>
            <a:endParaRPr lang="en-US"/>
          </a:p>
        </c:txPr>
        <c:crossAx val="927489408"/>
        <c:crosses val="autoZero"/>
        <c:crossBetween val="between"/>
      </c:valAx>
      <c:dTable>
        <c:showHorzBorder val="1"/>
        <c:showVertBorder val="1"/>
        <c:showOutline val="1"/>
        <c:showKeys val="1"/>
        <c:txPr>
          <a:bodyPr/>
          <a:lstStyle/>
          <a:p>
            <a:pPr rtl="0">
              <a:defRPr sz="700"/>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Credit Section Offerings by Basic Skills</a:t>
            </a:r>
            <a:r>
              <a:rPr lang="en-US" baseline="0"/>
              <a:t> Status</a:t>
            </a:r>
          </a:p>
          <a:p>
            <a:pPr>
              <a:defRPr/>
            </a:pPr>
            <a:r>
              <a:rPr lang="en-US" baseline="0"/>
              <a:t>2009-2010 to 2014-2015</a:t>
            </a:r>
            <a:endParaRPr lang="en-US"/>
          </a:p>
        </c:rich>
      </c:tx>
      <c:overlay val="0"/>
      <c:spPr>
        <a:noFill/>
        <a:ln>
          <a:noFill/>
        </a:ln>
        <a:effectLst/>
      </c:spPr>
    </c:title>
    <c:autoTitleDeleted val="0"/>
    <c:plotArea>
      <c:layout/>
      <c:barChart>
        <c:barDir val="col"/>
        <c:grouping val="stacked"/>
        <c:varyColors val="0"/>
        <c:ser>
          <c:idx val="0"/>
          <c:order val="0"/>
          <c:tx>
            <c:strRef>
              <c:f>Sheet1!$B$1</c:f>
              <c:strCache>
                <c:ptCount val="1"/>
                <c:pt idx="0">
                  <c:v>Not basic skills</c:v>
                </c:pt>
              </c:strCache>
            </c:strRef>
          </c:tx>
          <c:spPr>
            <a:solidFill>
              <a:schemeClr val="accent5"/>
            </a:solidFill>
            <a:ln>
              <a:solidFill>
                <a:schemeClr val="accent5">
                  <a:lumMod val="50000"/>
                </a:schemeClr>
              </a:solidFill>
            </a:ln>
            <a:effectLst/>
          </c:spPr>
          <c:invertIfNegative val="0"/>
          <c:cat>
            <c:strRef>
              <c:f>Sheet1!$A$2:$A$7</c:f>
              <c:strCache>
                <c:ptCount val="6"/>
                <c:pt idx="0">
                  <c:v>2009-2010</c:v>
                </c:pt>
                <c:pt idx="1">
                  <c:v>2010-2011</c:v>
                </c:pt>
                <c:pt idx="2">
                  <c:v>2011-2012</c:v>
                </c:pt>
                <c:pt idx="3">
                  <c:v>2012-2013</c:v>
                </c:pt>
                <c:pt idx="4">
                  <c:v>2013-2014</c:v>
                </c:pt>
                <c:pt idx="5">
                  <c:v>2014-2015</c:v>
                </c:pt>
              </c:strCache>
            </c:strRef>
          </c:cat>
          <c:val>
            <c:numRef>
              <c:f>Sheet1!$B$2:$B$7</c:f>
              <c:numCache>
                <c:formatCode>_(* #,##0_);_(* \(#,##0\);_(* "-"??_);_(@_)</c:formatCode>
                <c:ptCount val="6"/>
                <c:pt idx="0">
                  <c:v>5976</c:v>
                </c:pt>
                <c:pt idx="1">
                  <c:v>5778</c:v>
                </c:pt>
                <c:pt idx="2">
                  <c:v>5583</c:v>
                </c:pt>
                <c:pt idx="3">
                  <c:v>5647</c:v>
                </c:pt>
                <c:pt idx="4">
                  <c:v>5989</c:v>
                </c:pt>
                <c:pt idx="5">
                  <c:v>6346</c:v>
                </c:pt>
              </c:numCache>
            </c:numRef>
          </c:val>
        </c:ser>
        <c:ser>
          <c:idx val="1"/>
          <c:order val="1"/>
          <c:tx>
            <c:strRef>
              <c:f>Sheet1!$C$1</c:f>
              <c:strCache>
                <c:ptCount val="1"/>
                <c:pt idx="0">
                  <c:v>Basic skills</c:v>
                </c:pt>
              </c:strCache>
            </c:strRef>
          </c:tx>
          <c:spPr>
            <a:solidFill>
              <a:schemeClr val="accent5">
                <a:lumMod val="40000"/>
                <a:lumOff val="60000"/>
              </a:schemeClr>
            </a:solidFill>
            <a:ln>
              <a:solidFill>
                <a:schemeClr val="accent5"/>
              </a:solidFill>
            </a:ln>
            <a:effectLst/>
          </c:spPr>
          <c:invertIfNegative val="0"/>
          <c:cat>
            <c:strRef>
              <c:f>Sheet1!$A$2:$A$7</c:f>
              <c:strCache>
                <c:ptCount val="6"/>
                <c:pt idx="0">
                  <c:v>2009-2010</c:v>
                </c:pt>
                <c:pt idx="1">
                  <c:v>2010-2011</c:v>
                </c:pt>
                <c:pt idx="2">
                  <c:v>2011-2012</c:v>
                </c:pt>
                <c:pt idx="3">
                  <c:v>2012-2013</c:v>
                </c:pt>
                <c:pt idx="4">
                  <c:v>2013-2014</c:v>
                </c:pt>
                <c:pt idx="5">
                  <c:v>2014-2015</c:v>
                </c:pt>
              </c:strCache>
            </c:strRef>
          </c:cat>
          <c:val>
            <c:numRef>
              <c:f>Sheet1!$C$2:$C$7</c:f>
              <c:numCache>
                <c:formatCode>_(* #,##0_);_(* \(#,##0\);_(* "-"??_);_(@_)</c:formatCode>
                <c:ptCount val="6"/>
                <c:pt idx="0">
                  <c:v>559</c:v>
                </c:pt>
                <c:pt idx="1">
                  <c:v>656</c:v>
                </c:pt>
                <c:pt idx="2">
                  <c:v>587</c:v>
                </c:pt>
                <c:pt idx="3">
                  <c:v>514</c:v>
                </c:pt>
                <c:pt idx="4">
                  <c:v>512</c:v>
                </c:pt>
                <c:pt idx="5">
                  <c:v>504</c:v>
                </c:pt>
              </c:numCache>
            </c:numRef>
          </c:val>
        </c:ser>
        <c:dLbls>
          <c:showLegendKey val="0"/>
          <c:showVal val="0"/>
          <c:showCatName val="0"/>
          <c:showSerName val="0"/>
          <c:showPercent val="0"/>
          <c:showBubbleSize val="0"/>
        </c:dLbls>
        <c:gapWidth val="219"/>
        <c:overlap val="100"/>
        <c:axId val="927486272"/>
        <c:axId val="927484704"/>
      </c:barChart>
      <c:catAx>
        <c:axId val="92748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927484704"/>
        <c:crosses val="autoZero"/>
        <c:auto val="1"/>
        <c:lblAlgn val="ctr"/>
        <c:lblOffset val="100"/>
        <c:noMultiLvlLbl val="0"/>
      </c:catAx>
      <c:valAx>
        <c:axId val="927484704"/>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vert="horz"/>
          <a:lstStyle/>
          <a:p>
            <a:pPr>
              <a:defRPr/>
            </a:pPr>
            <a:endParaRPr lang="en-US"/>
          </a:p>
        </c:txPr>
        <c:crossAx val="927486272"/>
        <c:crosses val="autoZero"/>
        <c:crossBetween val="between"/>
      </c:valAx>
      <c:dTable>
        <c:showHorzBorder val="1"/>
        <c:showVertBorder val="1"/>
        <c:showOutline val="1"/>
        <c:showKeys val="1"/>
        <c:txPr>
          <a:bodyPr/>
          <a:lstStyle/>
          <a:p>
            <a:pPr rtl="0">
              <a:defRPr sz="700"/>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Credit Section Offerings by Distance Education Status</a:t>
            </a:r>
            <a:endParaRPr lang="en-US" baseline="0"/>
          </a:p>
          <a:p>
            <a:pPr>
              <a:defRPr/>
            </a:pPr>
            <a:r>
              <a:rPr lang="en-US" baseline="0"/>
              <a:t>2009-2010 to 2014-2015</a:t>
            </a:r>
            <a:endParaRPr lang="en-US"/>
          </a:p>
        </c:rich>
      </c:tx>
      <c:overlay val="0"/>
      <c:spPr>
        <a:noFill/>
        <a:ln>
          <a:noFill/>
        </a:ln>
        <a:effectLst/>
      </c:spPr>
    </c:title>
    <c:autoTitleDeleted val="0"/>
    <c:plotArea>
      <c:layout/>
      <c:barChart>
        <c:barDir val="col"/>
        <c:grouping val="stacked"/>
        <c:varyColors val="0"/>
        <c:ser>
          <c:idx val="0"/>
          <c:order val="0"/>
          <c:tx>
            <c:strRef>
              <c:f>Sheet1!$B$1</c:f>
              <c:strCache>
                <c:ptCount val="1"/>
                <c:pt idx="0">
                  <c:v>Not Distance Education</c:v>
                </c:pt>
              </c:strCache>
            </c:strRef>
          </c:tx>
          <c:spPr>
            <a:solidFill>
              <a:schemeClr val="accent5"/>
            </a:solidFill>
            <a:ln>
              <a:solidFill>
                <a:schemeClr val="accent5">
                  <a:lumMod val="50000"/>
                </a:schemeClr>
              </a:solidFill>
            </a:ln>
            <a:effectLst/>
          </c:spPr>
          <c:invertIfNegative val="0"/>
          <c:cat>
            <c:strRef>
              <c:f>Sheet1!$A$2:$A$7</c:f>
              <c:strCache>
                <c:ptCount val="6"/>
                <c:pt idx="0">
                  <c:v>2009-2010</c:v>
                </c:pt>
                <c:pt idx="1">
                  <c:v>2010-2011</c:v>
                </c:pt>
                <c:pt idx="2">
                  <c:v>2011-2012</c:v>
                </c:pt>
                <c:pt idx="3">
                  <c:v>2012-2013</c:v>
                </c:pt>
                <c:pt idx="4">
                  <c:v>2013-2014</c:v>
                </c:pt>
                <c:pt idx="5">
                  <c:v>2014-2015</c:v>
                </c:pt>
              </c:strCache>
            </c:strRef>
          </c:cat>
          <c:val>
            <c:numRef>
              <c:f>Sheet1!$B$2:$B$7</c:f>
              <c:numCache>
                <c:formatCode>#,##0</c:formatCode>
                <c:ptCount val="6"/>
                <c:pt idx="0">
                  <c:v>5740</c:v>
                </c:pt>
                <c:pt idx="1">
                  <c:v>5643</c:v>
                </c:pt>
                <c:pt idx="2">
                  <c:v>5445</c:v>
                </c:pt>
                <c:pt idx="3">
                  <c:v>5400</c:v>
                </c:pt>
                <c:pt idx="4">
                  <c:v>5658</c:v>
                </c:pt>
                <c:pt idx="5">
                  <c:v>5851</c:v>
                </c:pt>
              </c:numCache>
            </c:numRef>
          </c:val>
        </c:ser>
        <c:ser>
          <c:idx val="1"/>
          <c:order val="1"/>
          <c:tx>
            <c:strRef>
              <c:f>Sheet1!$C$1</c:f>
              <c:strCache>
                <c:ptCount val="1"/>
                <c:pt idx="0">
                  <c:v>Distance Education</c:v>
                </c:pt>
              </c:strCache>
            </c:strRef>
          </c:tx>
          <c:spPr>
            <a:solidFill>
              <a:schemeClr val="accent5">
                <a:lumMod val="40000"/>
                <a:lumOff val="60000"/>
              </a:schemeClr>
            </a:solidFill>
            <a:ln>
              <a:solidFill>
                <a:schemeClr val="accent5"/>
              </a:solidFill>
            </a:ln>
            <a:effectLst/>
          </c:spPr>
          <c:invertIfNegative val="0"/>
          <c:cat>
            <c:strRef>
              <c:f>Sheet1!$A$2:$A$7</c:f>
              <c:strCache>
                <c:ptCount val="6"/>
                <c:pt idx="0">
                  <c:v>2009-2010</c:v>
                </c:pt>
                <c:pt idx="1">
                  <c:v>2010-2011</c:v>
                </c:pt>
                <c:pt idx="2">
                  <c:v>2011-2012</c:v>
                </c:pt>
                <c:pt idx="3">
                  <c:v>2012-2013</c:v>
                </c:pt>
                <c:pt idx="4">
                  <c:v>2013-2014</c:v>
                </c:pt>
                <c:pt idx="5">
                  <c:v>2014-2015</c:v>
                </c:pt>
              </c:strCache>
            </c:strRef>
          </c:cat>
          <c:val>
            <c:numRef>
              <c:f>Sheet1!$C$2:$C$7</c:f>
              <c:numCache>
                <c:formatCode>General</c:formatCode>
                <c:ptCount val="6"/>
                <c:pt idx="0">
                  <c:v>795</c:v>
                </c:pt>
                <c:pt idx="1">
                  <c:v>791</c:v>
                </c:pt>
                <c:pt idx="2">
                  <c:v>725</c:v>
                </c:pt>
                <c:pt idx="3">
                  <c:v>761</c:v>
                </c:pt>
                <c:pt idx="4">
                  <c:v>843</c:v>
                </c:pt>
                <c:pt idx="5">
                  <c:v>999</c:v>
                </c:pt>
              </c:numCache>
            </c:numRef>
          </c:val>
        </c:ser>
        <c:dLbls>
          <c:showLegendKey val="0"/>
          <c:showVal val="0"/>
          <c:showCatName val="0"/>
          <c:showSerName val="0"/>
          <c:showPercent val="0"/>
          <c:showBubbleSize val="0"/>
        </c:dLbls>
        <c:gapWidth val="219"/>
        <c:overlap val="100"/>
        <c:axId val="927482744"/>
        <c:axId val="927480000"/>
      </c:barChart>
      <c:lineChart>
        <c:grouping val="standard"/>
        <c:varyColors val="0"/>
        <c:ser>
          <c:idx val="2"/>
          <c:order val="2"/>
          <c:tx>
            <c:strRef>
              <c:f>Sheet1!$D$1</c:f>
              <c:strCache>
                <c:ptCount val="1"/>
                <c:pt idx="0">
                  <c:v>Total</c:v>
                </c:pt>
              </c:strCache>
            </c:strRef>
          </c:tx>
          <c:spPr>
            <a:ln>
              <a:solidFill>
                <a:schemeClr val="accent5">
                  <a:lumMod val="50000"/>
                </a:schemeClr>
              </a:solidFill>
            </a:ln>
          </c:spPr>
          <c:marker>
            <c:symbol val="triangle"/>
            <c:size val="7"/>
            <c:spPr>
              <a:solidFill>
                <a:schemeClr val="accent5">
                  <a:lumMod val="50000"/>
                </a:schemeClr>
              </a:solidFill>
            </c:spPr>
          </c:marker>
          <c:cat>
            <c:strRef>
              <c:f>Sheet1!$A$2:$A$7</c:f>
              <c:strCache>
                <c:ptCount val="6"/>
                <c:pt idx="0">
                  <c:v>2009-2010</c:v>
                </c:pt>
                <c:pt idx="1">
                  <c:v>2010-2011</c:v>
                </c:pt>
                <c:pt idx="2">
                  <c:v>2011-2012</c:v>
                </c:pt>
                <c:pt idx="3">
                  <c:v>2012-2013</c:v>
                </c:pt>
                <c:pt idx="4">
                  <c:v>2013-2014</c:v>
                </c:pt>
                <c:pt idx="5">
                  <c:v>2014-2015</c:v>
                </c:pt>
              </c:strCache>
            </c:strRef>
          </c:cat>
          <c:val>
            <c:numRef>
              <c:f>Sheet1!$D$2:$D$7</c:f>
              <c:numCache>
                <c:formatCode>#,##0</c:formatCode>
                <c:ptCount val="6"/>
                <c:pt idx="0">
                  <c:v>6535</c:v>
                </c:pt>
                <c:pt idx="1">
                  <c:v>6434</c:v>
                </c:pt>
                <c:pt idx="2">
                  <c:v>6170</c:v>
                </c:pt>
                <c:pt idx="3">
                  <c:v>6161</c:v>
                </c:pt>
                <c:pt idx="4">
                  <c:v>6501</c:v>
                </c:pt>
                <c:pt idx="5">
                  <c:v>6850</c:v>
                </c:pt>
              </c:numCache>
            </c:numRef>
          </c:val>
          <c:smooth val="0"/>
        </c:ser>
        <c:dLbls>
          <c:showLegendKey val="0"/>
          <c:showVal val="0"/>
          <c:showCatName val="0"/>
          <c:showSerName val="0"/>
          <c:showPercent val="0"/>
          <c:showBubbleSize val="0"/>
        </c:dLbls>
        <c:marker val="1"/>
        <c:smooth val="0"/>
        <c:axId val="927482744"/>
        <c:axId val="927480000"/>
      </c:lineChart>
      <c:catAx>
        <c:axId val="927482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927480000"/>
        <c:crosses val="autoZero"/>
        <c:auto val="1"/>
        <c:lblAlgn val="ctr"/>
        <c:lblOffset val="100"/>
        <c:noMultiLvlLbl val="0"/>
      </c:catAx>
      <c:valAx>
        <c:axId val="927480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927482744"/>
        <c:crosses val="autoZero"/>
        <c:crossBetween val="between"/>
      </c:valAx>
      <c:dTable>
        <c:showHorzBorder val="1"/>
        <c:showVertBorder val="1"/>
        <c:showOutline val="1"/>
        <c:showKeys val="1"/>
        <c:txPr>
          <a:bodyPr/>
          <a:lstStyle/>
          <a:p>
            <a:pPr rtl="0">
              <a:defRPr sz="700"/>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Credit and Non-Credit Student Headcount</a:t>
            </a:r>
            <a:endParaRPr lang="en-US" baseline="0"/>
          </a:p>
          <a:p>
            <a:pPr>
              <a:defRPr/>
            </a:pPr>
            <a:r>
              <a:rPr lang="en-US" baseline="0"/>
              <a:t>2009-2010 to 2014-2015</a:t>
            </a:r>
            <a:endParaRPr lang="en-US"/>
          </a:p>
        </c:rich>
      </c:tx>
      <c:overlay val="0"/>
      <c:spPr>
        <a:noFill/>
        <a:ln>
          <a:noFill/>
        </a:ln>
        <a:effectLst/>
      </c:spPr>
    </c:title>
    <c:autoTitleDeleted val="0"/>
    <c:plotArea>
      <c:layout/>
      <c:barChart>
        <c:barDir val="col"/>
        <c:grouping val="stacked"/>
        <c:varyColors val="0"/>
        <c:ser>
          <c:idx val="0"/>
          <c:order val="0"/>
          <c:tx>
            <c:strRef>
              <c:f>Sheet1!$B$1</c:f>
              <c:strCache>
                <c:ptCount val="1"/>
                <c:pt idx="0">
                  <c:v>Credit</c:v>
                </c:pt>
              </c:strCache>
            </c:strRef>
          </c:tx>
          <c:spPr>
            <a:solidFill>
              <a:schemeClr val="accent5"/>
            </a:solidFill>
            <a:ln>
              <a:solidFill>
                <a:schemeClr val="accent5">
                  <a:lumMod val="50000"/>
                </a:schemeClr>
              </a:solidFill>
            </a:ln>
            <a:effectLst/>
          </c:spPr>
          <c:invertIfNegative val="0"/>
          <c:cat>
            <c:strRef>
              <c:f>Sheet1!$A$2:$A$7</c:f>
              <c:strCache>
                <c:ptCount val="6"/>
                <c:pt idx="0">
                  <c:v>2009-2010</c:v>
                </c:pt>
                <c:pt idx="1">
                  <c:v>2010-2011</c:v>
                </c:pt>
                <c:pt idx="2">
                  <c:v>2011-2012</c:v>
                </c:pt>
                <c:pt idx="3">
                  <c:v>2012-2013</c:v>
                </c:pt>
                <c:pt idx="4">
                  <c:v>2013-2014</c:v>
                </c:pt>
                <c:pt idx="5">
                  <c:v>2014-2015</c:v>
                </c:pt>
              </c:strCache>
            </c:strRef>
          </c:cat>
          <c:val>
            <c:numRef>
              <c:f>Sheet1!$B$2:$B$7</c:f>
              <c:numCache>
                <c:formatCode>_(* #,##0_);_(* \(#,##0\);_(* "-"??_);_(@_)</c:formatCode>
                <c:ptCount val="6"/>
                <c:pt idx="0">
                  <c:v>49704</c:v>
                </c:pt>
                <c:pt idx="1">
                  <c:v>46591</c:v>
                </c:pt>
                <c:pt idx="2">
                  <c:v>42775</c:v>
                </c:pt>
                <c:pt idx="3">
                  <c:v>42037</c:v>
                </c:pt>
                <c:pt idx="4">
                  <c:v>41553</c:v>
                </c:pt>
                <c:pt idx="5">
                  <c:v>42756</c:v>
                </c:pt>
              </c:numCache>
            </c:numRef>
          </c:val>
        </c:ser>
        <c:ser>
          <c:idx val="1"/>
          <c:order val="1"/>
          <c:tx>
            <c:strRef>
              <c:f>Sheet1!$C$1</c:f>
              <c:strCache>
                <c:ptCount val="1"/>
                <c:pt idx="0">
                  <c:v>Non-Credit</c:v>
                </c:pt>
              </c:strCache>
            </c:strRef>
          </c:tx>
          <c:spPr>
            <a:solidFill>
              <a:schemeClr val="accent5">
                <a:lumMod val="40000"/>
                <a:lumOff val="60000"/>
              </a:schemeClr>
            </a:solidFill>
            <a:ln>
              <a:solidFill>
                <a:schemeClr val="accent5"/>
              </a:solidFill>
            </a:ln>
            <a:effectLst/>
          </c:spPr>
          <c:invertIfNegative val="0"/>
          <c:cat>
            <c:strRef>
              <c:f>Sheet1!$A$2:$A$7</c:f>
              <c:strCache>
                <c:ptCount val="6"/>
                <c:pt idx="0">
                  <c:v>2009-2010</c:v>
                </c:pt>
                <c:pt idx="1">
                  <c:v>2010-2011</c:v>
                </c:pt>
                <c:pt idx="2">
                  <c:v>2011-2012</c:v>
                </c:pt>
                <c:pt idx="3">
                  <c:v>2012-2013</c:v>
                </c:pt>
                <c:pt idx="4">
                  <c:v>2013-2014</c:v>
                </c:pt>
                <c:pt idx="5">
                  <c:v>2014-2015</c:v>
                </c:pt>
              </c:strCache>
            </c:strRef>
          </c:cat>
          <c:val>
            <c:numRef>
              <c:f>Sheet1!$C$2:$C$7</c:f>
              <c:numCache>
                <c:formatCode>_(* #,##0_);_(* \(#,##0\);_(* "-"??_);_(@_)</c:formatCode>
                <c:ptCount val="6"/>
                <c:pt idx="0">
                  <c:v>5747</c:v>
                </c:pt>
                <c:pt idx="1">
                  <c:v>5817</c:v>
                </c:pt>
                <c:pt idx="2">
                  <c:v>5547</c:v>
                </c:pt>
                <c:pt idx="3">
                  <c:v>5155</c:v>
                </c:pt>
                <c:pt idx="4">
                  <c:v>4856</c:v>
                </c:pt>
                <c:pt idx="5">
                  <c:v>4740</c:v>
                </c:pt>
              </c:numCache>
            </c:numRef>
          </c:val>
        </c:ser>
        <c:dLbls>
          <c:showLegendKey val="0"/>
          <c:showVal val="0"/>
          <c:showCatName val="0"/>
          <c:showSerName val="0"/>
          <c:showPercent val="0"/>
          <c:showBubbleSize val="0"/>
        </c:dLbls>
        <c:gapWidth val="219"/>
        <c:overlap val="100"/>
        <c:axId val="829923432"/>
        <c:axId val="829919512"/>
      </c:barChart>
      <c:lineChart>
        <c:grouping val="standard"/>
        <c:varyColors val="0"/>
        <c:ser>
          <c:idx val="2"/>
          <c:order val="2"/>
          <c:tx>
            <c:strRef>
              <c:f>Sheet1!$D$1</c:f>
              <c:strCache>
                <c:ptCount val="1"/>
                <c:pt idx="0">
                  <c:v>Total</c:v>
                </c:pt>
              </c:strCache>
            </c:strRef>
          </c:tx>
          <c:spPr>
            <a:ln>
              <a:solidFill>
                <a:schemeClr val="accent5">
                  <a:lumMod val="50000"/>
                </a:schemeClr>
              </a:solidFill>
            </a:ln>
          </c:spPr>
          <c:marker>
            <c:symbol val="triangle"/>
            <c:size val="7"/>
            <c:spPr>
              <a:solidFill>
                <a:schemeClr val="accent5">
                  <a:lumMod val="50000"/>
                </a:schemeClr>
              </a:solidFill>
            </c:spPr>
          </c:marker>
          <c:cat>
            <c:strRef>
              <c:f>Sheet1!$A$2:$A$7</c:f>
              <c:strCache>
                <c:ptCount val="6"/>
                <c:pt idx="0">
                  <c:v>2009-2010</c:v>
                </c:pt>
                <c:pt idx="1">
                  <c:v>2010-2011</c:v>
                </c:pt>
                <c:pt idx="2">
                  <c:v>2011-2012</c:v>
                </c:pt>
                <c:pt idx="3">
                  <c:v>2012-2013</c:v>
                </c:pt>
                <c:pt idx="4">
                  <c:v>2013-2014</c:v>
                </c:pt>
                <c:pt idx="5">
                  <c:v>2014-2015</c:v>
                </c:pt>
              </c:strCache>
            </c:strRef>
          </c:cat>
          <c:val>
            <c:numRef>
              <c:f>Sheet1!$D$2:$D$7</c:f>
              <c:numCache>
                <c:formatCode>_(* #,##0_);_(* \(#,##0\);_(* "-"??_);_(@_)</c:formatCode>
                <c:ptCount val="6"/>
                <c:pt idx="0">
                  <c:v>55451</c:v>
                </c:pt>
                <c:pt idx="1">
                  <c:v>52408</c:v>
                </c:pt>
                <c:pt idx="2">
                  <c:v>48322</c:v>
                </c:pt>
                <c:pt idx="3">
                  <c:v>47192</c:v>
                </c:pt>
                <c:pt idx="4">
                  <c:v>46409</c:v>
                </c:pt>
                <c:pt idx="5">
                  <c:v>47496</c:v>
                </c:pt>
              </c:numCache>
            </c:numRef>
          </c:val>
          <c:smooth val="0"/>
        </c:ser>
        <c:dLbls>
          <c:showLegendKey val="0"/>
          <c:showVal val="0"/>
          <c:showCatName val="0"/>
          <c:showSerName val="0"/>
          <c:showPercent val="0"/>
          <c:showBubbleSize val="0"/>
        </c:dLbls>
        <c:marker val="1"/>
        <c:smooth val="0"/>
        <c:axId val="829923432"/>
        <c:axId val="829919512"/>
      </c:lineChart>
      <c:catAx>
        <c:axId val="829923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829919512"/>
        <c:crosses val="autoZero"/>
        <c:auto val="1"/>
        <c:lblAlgn val="ctr"/>
        <c:lblOffset val="100"/>
        <c:noMultiLvlLbl val="0"/>
      </c:catAx>
      <c:valAx>
        <c:axId val="829919512"/>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vert="horz"/>
          <a:lstStyle/>
          <a:p>
            <a:pPr>
              <a:defRPr/>
            </a:pPr>
            <a:endParaRPr lang="en-US"/>
          </a:p>
        </c:txPr>
        <c:crossAx val="829923432"/>
        <c:crosses val="autoZero"/>
        <c:crossBetween val="between"/>
      </c:valAx>
      <c:dTable>
        <c:showHorzBorder val="1"/>
        <c:showVertBorder val="1"/>
        <c:showOutline val="1"/>
        <c:showKeys val="1"/>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Credit and Non-Credit FTES</a:t>
            </a:r>
            <a:endParaRPr lang="en-US" baseline="0"/>
          </a:p>
          <a:p>
            <a:pPr>
              <a:defRPr/>
            </a:pPr>
            <a:r>
              <a:rPr lang="en-US" baseline="0"/>
              <a:t>2009-2010 to 2014-2015</a:t>
            </a:r>
            <a:endParaRPr lang="en-US"/>
          </a:p>
        </c:rich>
      </c:tx>
      <c:overlay val="0"/>
      <c:spPr>
        <a:noFill/>
        <a:ln>
          <a:noFill/>
        </a:ln>
        <a:effectLst/>
      </c:spPr>
    </c:title>
    <c:autoTitleDeleted val="0"/>
    <c:plotArea>
      <c:layout/>
      <c:barChart>
        <c:barDir val="col"/>
        <c:grouping val="stacked"/>
        <c:varyColors val="0"/>
        <c:ser>
          <c:idx val="0"/>
          <c:order val="0"/>
          <c:tx>
            <c:strRef>
              <c:f>Sheet1!$B$1</c:f>
              <c:strCache>
                <c:ptCount val="1"/>
                <c:pt idx="0">
                  <c:v>Credit</c:v>
                </c:pt>
              </c:strCache>
            </c:strRef>
          </c:tx>
          <c:spPr>
            <a:solidFill>
              <a:schemeClr val="accent5"/>
            </a:solidFill>
            <a:ln>
              <a:solidFill>
                <a:schemeClr val="accent5">
                  <a:lumMod val="50000"/>
                </a:schemeClr>
              </a:solidFill>
            </a:ln>
            <a:effectLst/>
          </c:spPr>
          <c:invertIfNegative val="0"/>
          <c:cat>
            <c:strRef>
              <c:f>Sheet1!$A$2:$A$7</c:f>
              <c:strCache>
                <c:ptCount val="6"/>
                <c:pt idx="0">
                  <c:v>2009-2010</c:v>
                </c:pt>
                <c:pt idx="1">
                  <c:v>2010-2011</c:v>
                </c:pt>
                <c:pt idx="2">
                  <c:v>2011-2012</c:v>
                </c:pt>
                <c:pt idx="3">
                  <c:v>2012-2013</c:v>
                </c:pt>
                <c:pt idx="4">
                  <c:v>2013-2014</c:v>
                </c:pt>
                <c:pt idx="5">
                  <c:v>2014-2015</c:v>
                </c:pt>
              </c:strCache>
            </c:strRef>
          </c:cat>
          <c:val>
            <c:numRef>
              <c:f>Sheet1!$B$2:$B$7</c:f>
              <c:numCache>
                <c:formatCode>#,##0.00</c:formatCode>
                <c:ptCount val="6"/>
                <c:pt idx="0">
                  <c:v>27117.823809523808</c:v>
                </c:pt>
                <c:pt idx="1">
                  <c:v>26708.961904761909</c:v>
                </c:pt>
                <c:pt idx="2">
                  <c:v>25162.61904761901</c:v>
                </c:pt>
                <c:pt idx="3">
                  <c:v>24392.305142857142</c:v>
                </c:pt>
                <c:pt idx="4">
                  <c:v>24725.919999999991</c:v>
                </c:pt>
                <c:pt idx="5">
                  <c:v>25177.748952380942</c:v>
                </c:pt>
              </c:numCache>
            </c:numRef>
          </c:val>
        </c:ser>
        <c:ser>
          <c:idx val="1"/>
          <c:order val="1"/>
          <c:tx>
            <c:strRef>
              <c:f>Sheet1!$C$1</c:f>
              <c:strCache>
                <c:ptCount val="1"/>
                <c:pt idx="0">
                  <c:v>Non-Credit</c:v>
                </c:pt>
              </c:strCache>
            </c:strRef>
          </c:tx>
          <c:spPr>
            <a:solidFill>
              <a:schemeClr val="accent5">
                <a:lumMod val="40000"/>
                <a:lumOff val="60000"/>
              </a:schemeClr>
            </a:solidFill>
            <a:ln>
              <a:solidFill>
                <a:schemeClr val="accent5"/>
              </a:solidFill>
            </a:ln>
            <a:effectLst/>
          </c:spPr>
          <c:invertIfNegative val="0"/>
          <c:cat>
            <c:strRef>
              <c:f>Sheet1!$A$2:$A$7</c:f>
              <c:strCache>
                <c:ptCount val="6"/>
                <c:pt idx="0">
                  <c:v>2009-2010</c:v>
                </c:pt>
                <c:pt idx="1">
                  <c:v>2010-2011</c:v>
                </c:pt>
                <c:pt idx="2">
                  <c:v>2011-2012</c:v>
                </c:pt>
                <c:pt idx="3">
                  <c:v>2012-2013</c:v>
                </c:pt>
                <c:pt idx="4">
                  <c:v>2013-2014</c:v>
                </c:pt>
                <c:pt idx="5">
                  <c:v>2014-2015</c:v>
                </c:pt>
              </c:strCache>
            </c:strRef>
          </c:cat>
          <c:val>
            <c:numRef>
              <c:f>Sheet1!$C$2:$C$7</c:f>
              <c:numCache>
                <c:formatCode>#,##0.00</c:formatCode>
                <c:ptCount val="6"/>
                <c:pt idx="0">
                  <c:v>429.54609523809518</c:v>
                </c:pt>
                <c:pt idx="1">
                  <c:v>593.6175238095226</c:v>
                </c:pt>
                <c:pt idx="2">
                  <c:v>669.02590476190437</c:v>
                </c:pt>
                <c:pt idx="3">
                  <c:v>706.14971428571437</c:v>
                </c:pt>
                <c:pt idx="4">
                  <c:v>607.984380952381</c:v>
                </c:pt>
                <c:pt idx="5">
                  <c:v>742.81961904761897</c:v>
                </c:pt>
              </c:numCache>
            </c:numRef>
          </c:val>
        </c:ser>
        <c:dLbls>
          <c:showLegendKey val="0"/>
          <c:showVal val="0"/>
          <c:showCatName val="0"/>
          <c:showSerName val="0"/>
          <c:showPercent val="0"/>
          <c:showBubbleSize val="0"/>
        </c:dLbls>
        <c:gapWidth val="219"/>
        <c:overlap val="100"/>
        <c:axId val="477001944"/>
        <c:axId val="476999200"/>
      </c:barChart>
      <c:lineChart>
        <c:grouping val="standard"/>
        <c:varyColors val="0"/>
        <c:ser>
          <c:idx val="2"/>
          <c:order val="2"/>
          <c:tx>
            <c:strRef>
              <c:f>Sheet1!$D$1</c:f>
              <c:strCache>
                <c:ptCount val="1"/>
                <c:pt idx="0">
                  <c:v>Total</c:v>
                </c:pt>
              </c:strCache>
            </c:strRef>
          </c:tx>
          <c:spPr>
            <a:ln>
              <a:solidFill>
                <a:schemeClr val="accent5">
                  <a:lumMod val="50000"/>
                </a:schemeClr>
              </a:solidFill>
            </a:ln>
          </c:spPr>
          <c:marker>
            <c:symbol val="triangle"/>
            <c:size val="7"/>
            <c:spPr>
              <a:solidFill>
                <a:schemeClr val="accent5">
                  <a:lumMod val="50000"/>
                </a:schemeClr>
              </a:solidFill>
            </c:spPr>
          </c:marker>
          <c:cat>
            <c:strRef>
              <c:f>Sheet1!$A$2:$A$7</c:f>
              <c:strCache>
                <c:ptCount val="6"/>
                <c:pt idx="0">
                  <c:v>2009-2010</c:v>
                </c:pt>
                <c:pt idx="1">
                  <c:v>2010-2011</c:v>
                </c:pt>
                <c:pt idx="2">
                  <c:v>2011-2012</c:v>
                </c:pt>
                <c:pt idx="3">
                  <c:v>2012-2013</c:v>
                </c:pt>
                <c:pt idx="4">
                  <c:v>2013-2014</c:v>
                </c:pt>
                <c:pt idx="5">
                  <c:v>2014-2015</c:v>
                </c:pt>
              </c:strCache>
            </c:strRef>
          </c:cat>
          <c:val>
            <c:numRef>
              <c:f>Sheet1!$D$2:$D$7</c:f>
              <c:numCache>
                <c:formatCode>#,##0.00</c:formatCode>
                <c:ptCount val="6"/>
                <c:pt idx="0">
                  <c:v>27547.369904761901</c:v>
                </c:pt>
                <c:pt idx="1">
                  <c:v>27302.579428571411</c:v>
                </c:pt>
                <c:pt idx="2">
                  <c:v>25831.64495238095</c:v>
                </c:pt>
                <c:pt idx="3">
                  <c:v>25098.45485714286</c:v>
                </c:pt>
                <c:pt idx="4">
                  <c:v>25333.904380952401</c:v>
                </c:pt>
                <c:pt idx="5">
                  <c:v>25920.568571428561</c:v>
                </c:pt>
              </c:numCache>
            </c:numRef>
          </c:val>
          <c:smooth val="0"/>
        </c:ser>
        <c:dLbls>
          <c:showLegendKey val="0"/>
          <c:showVal val="0"/>
          <c:showCatName val="0"/>
          <c:showSerName val="0"/>
          <c:showPercent val="0"/>
          <c:showBubbleSize val="0"/>
        </c:dLbls>
        <c:marker val="1"/>
        <c:smooth val="0"/>
        <c:axId val="477001944"/>
        <c:axId val="476999200"/>
      </c:lineChart>
      <c:catAx>
        <c:axId val="477001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76999200"/>
        <c:crosses val="autoZero"/>
        <c:auto val="1"/>
        <c:lblAlgn val="ctr"/>
        <c:lblOffset val="100"/>
        <c:noMultiLvlLbl val="0"/>
      </c:catAx>
      <c:valAx>
        <c:axId val="4769992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en-US"/>
          </a:p>
        </c:txPr>
        <c:crossAx val="477001944"/>
        <c:crosses val="autoZero"/>
        <c:crossBetween val="between"/>
      </c:valAx>
      <c:dTable>
        <c:showHorzBorder val="1"/>
        <c:showVertBorder val="1"/>
        <c:showOutline val="1"/>
        <c:showKeys val="1"/>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US" b="1"/>
              <a:t>Student Ethnicity/Race Distribution</a:t>
            </a:r>
          </a:p>
          <a:p>
            <a:pPr>
              <a:defRPr sz="960" b="0"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US" b="1"/>
              <a:t>2009-2010 vs. 2014-2015</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2009-2010</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Asian/Pacific Islander</c:v>
                </c:pt>
                <c:pt idx="1">
                  <c:v>Black</c:v>
                </c:pt>
                <c:pt idx="2">
                  <c:v>Hispanic</c:v>
                </c:pt>
                <c:pt idx="3">
                  <c:v>Native American</c:v>
                </c:pt>
                <c:pt idx="4">
                  <c:v>Multiple Races</c:v>
                </c:pt>
                <c:pt idx="5">
                  <c:v>White</c:v>
                </c:pt>
                <c:pt idx="6">
                  <c:v>Unreported</c:v>
                </c:pt>
              </c:strCache>
            </c:strRef>
          </c:cat>
          <c:val>
            <c:numRef>
              <c:f>Sheet1!$B$2:$B$8</c:f>
              <c:numCache>
                <c:formatCode>0.0%</c:formatCode>
                <c:ptCount val="7"/>
                <c:pt idx="0">
                  <c:v>0.18710767745050699</c:v>
                </c:pt>
                <c:pt idx="1">
                  <c:v>0.106289232254949</c:v>
                </c:pt>
                <c:pt idx="2">
                  <c:v>0.26842910027361999</c:v>
                </c:pt>
                <c:pt idx="3">
                  <c:v>3.5610816030902902E-3</c:v>
                </c:pt>
                <c:pt idx="4">
                  <c:v>1.54715918235957E-2</c:v>
                </c:pt>
                <c:pt idx="5">
                  <c:v>0.33466119427007901</c:v>
                </c:pt>
                <c:pt idx="6">
                  <c:v>8.4480122324158996E-2</c:v>
                </c:pt>
              </c:numCache>
            </c:numRef>
          </c:val>
        </c:ser>
        <c:ser>
          <c:idx val="1"/>
          <c:order val="1"/>
          <c:tx>
            <c:strRef>
              <c:f>Sheet1!$C$1</c:f>
              <c:strCache>
                <c:ptCount val="1"/>
                <c:pt idx="0">
                  <c:v>2014-2015</c:v>
                </c:pt>
              </c:strCache>
            </c:strRef>
          </c:tx>
          <c:spPr>
            <a:solidFill>
              <a:schemeClr val="accent5">
                <a:tint val="77000"/>
              </a:schemeClr>
            </a:solidFill>
            <a:ln>
              <a:noFill/>
            </a:ln>
            <a:effectLst/>
          </c:spPr>
          <c:invertIfNegative val="0"/>
          <c:dLbls>
            <c:dLbl>
              <c:idx val="1"/>
              <c:layout>
                <c:manualLayout>
                  <c:x val="6.9260071568740603E-3"/>
                  <c:y val="-7.9570840050125505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Asian/Pacific Islander</c:v>
                </c:pt>
                <c:pt idx="1">
                  <c:v>Black</c:v>
                </c:pt>
                <c:pt idx="2">
                  <c:v>Hispanic</c:v>
                </c:pt>
                <c:pt idx="3">
                  <c:v>Native American</c:v>
                </c:pt>
                <c:pt idx="4">
                  <c:v>Multiple Races</c:v>
                </c:pt>
                <c:pt idx="5">
                  <c:v>White</c:v>
                </c:pt>
                <c:pt idx="6">
                  <c:v>Unreported</c:v>
                </c:pt>
              </c:strCache>
            </c:strRef>
          </c:cat>
          <c:val>
            <c:numRef>
              <c:f>Sheet1!$C$2:$C$8</c:f>
              <c:numCache>
                <c:formatCode>0.0%</c:formatCode>
                <c:ptCount val="7"/>
                <c:pt idx="0">
                  <c:v>0.14559360089812001</c:v>
                </c:pt>
                <c:pt idx="1">
                  <c:v>9.6781738235569195E-2</c:v>
                </c:pt>
                <c:pt idx="2">
                  <c:v>0.36708298250537902</c:v>
                </c:pt>
                <c:pt idx="3">
                  <c:v>2.0114136027692001E-3</c:v>
                </c:pt>
                <c:pt idx="4">
                  <c:v>4.1304144447562897E-2</c:v>
                </c:pt>
                <c:pt idx="5">
                  <c:v>0.28393675741416402</c:v>
                </c:pt>
                <c:pt idx="6">
                  <c:v>6.3289362896435594E-2</c:v>
                </c:pt>
              </c:numCache>
            </c:numRef>
          </c:val>
        </c:ser>
        <c:dLbls>
          <c:showLegendKey val="0"/>
          <c:showVal val="0"/>
          <c:showCatName val="0"/>
          <c:showSerName val="0"/>
          <c:showPercent val="0"/>
          <c:showBubbleSize val="0"/>
        </c:dLbls>
        <c:gapWidth val="219"/>
        <c:overlap val="-27"/>
        <c:axId val="997377624"/>
        <c:axId val="997378016"/>
      </c:barChart>
      <c:catAx>
        <c:axId val="997377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97378016"/>
        <c:crosses val="autoZero"/>
        <c:auto val="1"/>
        <c:lblAlgn val="ctr"/>
        <c:lblOffset val="100"/>
        <c:noMultiLvlLbl val="0"/>
      </c:catAx>
      <c:valAx>
        <c:axId val="9973780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97377624"/>
        <c:crosses val="autoZero"/>
        <c:crossBetween val="between"/>
      </c:valAx>
      <c:spPr>
        <a:noFill/>
        <a:ln>
          <a:noFill/>
        </a:ln>
        <a:effectLst/>
      </c:spPr>
    </c:plotArea>
    <c:legend>
      <c:legendPos val="b"/>
      <c:layout>
        <c:manualLayout>
          <c:xMode val="edge"/>
          <c:yMode val="edge"/>
          <c:x val="0.20984311048617499"/>
          <c:y val="0.90612970253718295"/>
          <c:w val="0.58723960439956002"/>
          <c:h val="6.7828630796150494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960" b="1"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US" b="1"/>
              <a:t>Student</a:t>
            </a:r>
            <a:r>
              <a:rPr lang="en-US" b="1" baseline="0"/>
              <a:t> Residence Status</a:t>
            </a:r>
          </a:p>
          <a:p>
            <a:pPr>
              <a:defRPr sz="960" b="1"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US" b="1" baseline="0"/>
              <a:t>2009-2010 to 2014-2015</a:t>
            </a:r>
            <a:endParaRPr lang="en-US" b="1"/>
          </a:p>
        </c:rich>
      </c:tx>
      <c:overlay val="0"/>
      <c:spPr>
        <a:noFill/>
        <a:ln>
          <a:noFill/>
        </a:ln>
        <a:effectLst/>
      </c:spPr>
    </c:title>
    <c:autoTitleDeleted val="0"/>
    <c:plotArea>
      <c:layout/>
      <c:barChart>
        <c:barDir val="col"/>
        <c:grouping val="percentStacked"/>
        <c:varyColors val="0"/>
        <c:ser>
          <c:idx val="0"/>
          <c:order val="0"/>
          <c:tx>
            <c:strRef>
              <c:f>Sheet1!$B$1</c:f>
              <c:strCache>
                <c:ptCount val="1"/>
                <c:pt idx="0">
                  <c:v>California</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2009-2010      (N = 49,704)</c:v>
                </c:pt>
                <c:pt idx="1">
                  <c:v>2010-2011      (N = 46,591)</c:v>
                </c:pt>
                <c:pt idx="2">
                  <c:v>2011-2012      (N = 42,775)</c:v>
                </c:pt>
                <c:pt idx="3">
                  <c:v>2012-2013      (N = 42,037)</c:v>
                </c:pt>
                <c:pt idx="4">
                  <c:v>2013-2014      (N = 41,553)</c:v>
                </c:pt>
                <c:pt idx="5">
                  <c:v>2014-2015      (N = 42,756)</c:v>
                </c:pt>
              </c:strCache>
            </c:strRef>
          </c:cat>
          <c:val>
            <c:numRef>
              <c:f>Sheet1!$B$2:$B$7</c:f>
              <c:numCache>
                <c:formatCode>0.0%</c:formatCode>
                <c:ptCount val="6"/>
                <c:pt idx="0">
                  <c:v>0.85799999999999998</c:v>
                </c:pt>
                <c:pt idx="1">
                  <c:v>0.84799999999999998</c:v>
                </c:pt>
                <c:pt idx="2">
                  <c:v>0.84399999999999997</c:v>
                </c:pt>
                <c:pt idx="3">
                  <c:v>0.83799999999999997</c:v>
                </c:pt>
                <c:pt idx="4">
                  <c:v>0.83599999999999997</c:v>
                </c:pt>
                <c:pt idx="5">
                  <c:v>0.83299999999999996</c:v>
                </c:pt>
              </c:numCache>
            </c:numRef>
          </c:val>
        </c:ser>
        <c:ser>
          <c:idx val="1"/>
          <c:order val="1"/>
          <c:tx>
            <c:strRef>
              <c:f>Sheet1!$C$1</c:f>
              <c:strCache>
                <c:ptCount val="1"/>
                <c:pt idx="0">
                  <c:v>Out-of-State</c:v>
                </c:pt>
              </c:strCache>
            </c:strRef>
          </c:tx>
          <c:spPr>
            <a:solidFill>
              <a:schemeClr val="accent5"/>
            </a:solidFill>
            <a:ln>
              <a:noFill/>
            </a:ln>
            <a:effectLst/>
          </c:spPr>
          <c:invertIfNegative val="0"/>
          <c:dLbls>
            <c:dLbl>
              <c:idx val="1"/>
              <c:layout>
                <c:manualLayout>
                  <c:x val="0"/>
                  <c:y val="3.968253968253969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2009-2010      (N = 49,704)</c:v>
                </c:pt>
                <c:pt idx="1">
                  <c:v>2010-2011      (N = 46,591)</c:v>
                </c:pt>
                <c:pt idx="2">
                  <c:v>2011-2012      (N = 42,775)</c:v>
                </c:pt>
                <c:pt idx="3">
                  <c:v>2012-2013      (N = 42,037)</c:v>
                </c:pt>
                <c:pt idx="4">
                  <c:v>2013-2014      (N = 41,553)</c:v>
                </c:pt>
                <c:pt idx="5">
                  <c:v>2014-2015      (N = 42,756)</c:v>
                </c:pt>
              </c:strCache>
            </c:strRef>
          </c:cat>
          <c:val>
            <c:numRef>
              <c:f>Sheet1!$C$2:$C$7</c:f>
              <c:numCache>
                <c:formatCode>0.0%</c:formatCode>
                <c:ptCount val="6"/>
                <c:pt idx="0">
                  <c:v>6.2E-2</c:v>
                </c:pt>
                <c:pt idx="1">
                  <c:v>6.5000000000000002E-2</c:v>
                </c:pt>
                <c:pt idx="2">
                  <c:v>0.06</c:v>
                </c:pt>
                <c:pt idx="3">
                  <c:v>0.06</c:v>
                </c:pt>
                <c:pt idx="4">
                  <c:v>6.0999999999999999E-2</c:v>
                </c:pt>
                <c:pt idx="5">
                  <c:v>6.3E-2</c:v>
                </c:pt>
              </c:numCache>
            </c:numRef>
          </c:val>
        </c:ser>
        <c:ser>
          <c:idx val="2"/>
          <c:order val="2"/>
          <c:tx>
            <c:strRef>
              <c:f>Sheet1!$D$1</c:f>
              <c:strCache>
                <c:ptCount val="1"/>
                <c:pt idx="0">
                  <c:v>Foreign Country</c:v>
                </c:pt>
              </c:strCache>
            </c:strRef>
          </c:tx>
          <c:spPr>
            <a:solidFill>
              <a:schemeClr val="accent5">
                <a:lumMod val="20000"/>
                <a:lumOff val="80000"/>
              </a:schemeClr>
            </a:solidFill>
            <a:ln>
              <a:solidFill>
                <a:schemeClr val="accent5"/>
              </a:solidFill>
            </a:ln>
            <a:effectLst/>
          </c:spPr>
          <c:invertIfNegative val="0"/>
          <c:dLbls>
            <c:dLbl>
              <c:idx val="1"/>
              <c:layout>
                <c:manualLayout>
                  <c:x val="0"/>
                  <c:y val="3.968253968253969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2009-2010      (N = 49,704)</c:v>
                </c:pt>
                <c:pt idx="1">
                  <c:v>2010-2011      (N = 46,591)</c:v>
                </c:pt>
                <c:pt idx="2">
                  <c:v>2011-2012      (N = 42,775)</c:v>
                </c:pt>
                <c:pt idx="3">
                  <c:v>2012-2013      (N = 42,037)</c:v>
                </c:pt>
                <c:pt idx="4">
                  <c:v>2013-2014      (N = 41,553)</c:v>
                </c:pt>
                <c:pt idx="5">
                  <c:v>2014-2015      (N = 42,756)</c:v>
                </c:pt>
              </c:strCache>
            </c:strRef>
          </c:cat>
          <c:val>
            <c:numRef>
              <c:f>Sheet1!$D$2:$D$7</c:f>
              <c:numCache>
                <c:formatCode>0.0%</c:formatCode>
                <c:ptCount val="6"/>
                <c:pt idx="0">
                  <c:v>0.08</c:v>
                </c:pt>
                <c:pt idx="1">
                  <c:v>8.7999999999999995E-2</c:v>
                </c:pt>
                <c:pt idx="2">
                  <c:v>9.7000000000000003E-2</c:v>
                </c:pt>
                <c:pt idx="3">
                  <c:v>0.10199999999999999</c:v>
                </c:pt>
                <c:pt idx="4">
                  <c:v>0.10299999999999999</c:v>
                </c:pt>
                <c:pt idx="5">
                  <c:v>0.104</c:v>
                </c:pt>
              </c:numCache>
            </c:numRef>
          </c:val>
        </c:ser>
        <c:dLbls>
          <c:showLegendKey val="0"/>
          <c:showVal val="0"/>
          <c:showCatName val="0"/>
          <c:showSerName val="0"/>
          <c:showPercent val="0"/>
          <c:showBubbleSize val="0"/>
        </c:dLbls>
        <c:gapWidth val="150"/>
        <c:overlap val="100"/>
        <c:axId val="997378408"/>
        <c:axId val="997378800"/>
      </c:barChart>
      <c:catAx>
        <c:axId val="997378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97378800"/>
        <c:crosses val="autoZero"/>
        <c:auto val="1"/>
        <c:lblAlgn val="ctr"/>
        <c:lblOffset val="100"/>
        <c:noMultiLvlLbl val="0"/>
      </c:catAx>
      <c:valAx>
        <c:axId val="997378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97378408"/>
        <c:crosses val="autoZero"/>
        <c:crossBetween val="between"/>
      </c:valAx>
      <c:spPr>
        <a:noFill/>
        <a:ln>
          <a:noFill/>
        </a:ln>
        <a:effectLst/>
      </c:spPr>
    </c:plotArea>
    <c:legend>
      <c:legendPos val="b"/>
      <c:layout>
        <c:manualLayout>
          <c:xMode val="edge"/>
          <c:yMode val="edge"/>
          <c:x val="0.12794838145231899"/>
          <c:y val="0.91417572803399605"/>
          <c:w val="0.77651046223388698"/>
          <c:h val="6.20147481564804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960" b="1"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US" b="1"/>
              <a:t>Socioeconomic</a:t>
            </a:r>
            <a:r>
              <a:rPr lang="en-US" b="1" baseline="0"/>
              <a:t> Status</a:t>
            </a:r>
          </a:p>
          <a:p>
            <a:pPr>
              <a:defRPr sz="960" b="1"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US" b="1" baseline="0"/>
              <a:t>2009-2010 to 2014-2015</a:t>
            </a:r>
            <a:endParaRPr lang="en-US" b="1"/>
          </a:p>
        </c:rich>
      </c:tx>
      <c:overlay val="0"/>
      <c:spPr>
        <a:noFill/>
        <a:ln>
          <a:noFill/>
        </a:ln>
        <a:effectLst/>
      </c:spPr>
    </c:title>
    <c:autoTitleDeleted val="0"/>
    <c:plotArea>
      <c:layout/>
      <c:barChart>
        <c:barDir val="col"/>
        <c:grouping val="percentStacked"/>
        <c:varyColors val="0"/>
        <c:ser>
          <c:idx val="0"/>
          <c:order val="0"/>
          <c:tx>
            <c:strRef>
              <c:f>Sheet1!$B$1</c:f>
              <c:strCache>
                <c:ptCount val="1"/>
                <c:pt idx="0">
                  <c:v>Economically disadvantaged</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2009-2010      (N = 49,704)</c:v>
                </c:pt>
                <c:pt idx="1">
                  <c:v>2010-2011      (N = 46,591)</c:v>
                </c:pt>
                <c:pt idx="2">
                  <c:v>2011-2012      (N = 42,775)</c:v>
                </c:pt>
                <c:pt idx="3">
                  <c:v>2012-2013      (N = 42,037)</c:v>
                </c:pt>
                <c:pt idx="4">
                  <c:v>2013-2014      (N = 41,553)</c:v>
                </c:pt>
                <c:pt idx="5">
                  <c:v>2014-2015      (N = 42,756)</c:v>
                </c:pt>
              </c:strCache>
            </c:strRef>
          </c:cat>
          <c:val>
            <c:numRef>
              <c:f>Sheet1!$B$2:$B$7</c:f>
              <c:numCache>
                <c:formatCode>0.0%</c:formatCode>
                <c:ptCount val="6"/>
                <c:pt idx="0">
                  <c:v>0.33327297601802702</c:v>
                </c:pt>
                <c:pt idx="1">
                  <c:v>0.38445193277671602</c:v>
                </c:pt>
                <c:pt idx="2">
                  <c:v>0.45028638223261302</c:v>
                </c:pt>
                <c:pt idx="3">
                  <c:v>0.51352380046149804</c:v>
                </c:pt>
                <c:pt idx="4">
                  <c:v>0.53733785767573905</c:v>
                </c:pt>
                <c:pt idx="5">
                  <c:v>0.53241650294695497</c:v>
                </c:pt>
              </c:numCache>
            </c:numRef>
          </c:val>
        </c:ser>
        <c:ser>
          <c:idx val="1"/>
          <c:order val="1"/>
          <c:tx>
            <c:strRef>
              <c:f>Sheet1!$C$1</c:f>
              <c:strCache>
                <c:ptCount val="1"/>
                <c:pt idx="0">
                  <c:v>Not economically disadvantaged</c:v>
                </c:pt>
              </c:strCache>
            </c:strRef>
          </c:tx>
          <c:spPr>
            <a:solidFill>
              <a:schemeClr val="accent5"/>
            </a:solidFill>
            <a:ln>
              <a:noFill/>
            </a:ln>
            <a:effectLst/>
          </c:spPr>
          <c:invertIfNegative val="0"/>
          <c:dLbls>
            <c:dLbl>
              <c:idx val="1"/>
              <c:layout>
                <c:manualLayout>
                  <c:x val="0"/>
                  <c:y val="3.968253968253969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2009-2010      (N = 49,704)</c:v>
                </c:pt>
                <c:pt idx="1">
                  <c:v>2010-2011      (N = 46,591)</c:v>
                </c:pt>
                <c:pt idx="2">
                  <c:v>2011-2012      (N = 42,775)</c:v>
                </c:pt>
                <c:pt idx="3">
                  <c:v>2012-2013      (N = 42,037)</c:v>
                </c:pt>
                <c:pt idx="4">
                  <c:v>2013-2014      (N = 41,553)</c:v>
                </c:pt>
                <c:pt idx="5">
                  <c:v>2014-2015      (N = 42,756)</c:v>
                </c:pt>
              </c:strCache>
            </c:strRef>
          </c:cat>
          <c:val>
            <c:numRef>
              <c:f>Sheet1!$C$2:$C$7</c:f>
              <c:numCache>
                <c:formatCode>0.0%</c:formatCode>
                <c:ptCount val="6"/>
                <c:pt idx="0">
                  <c:v>0.66672702398197303</c:v>
                </c:pt>
                <c:pt idx="1">
                  <c:v>0.61554806722328403</c:v>
                </c:pt>
                <c:pt idx="2">
                  <c:v>0.54971361776738803</c:v>
                </c:pt>
                <c:pt idx="3">
                  <c:v>0.48647619953850202</c:v>
                </c:pt>
                <c:pt idx="4">
                  <c:v>0.46266214232426101</c:v>
                </c:pt>
                <c:pt idx="5">
                  <c:v>0.46758349705304503</c:v>
                </c:pt>
              </c:numCache>
            </c:numRef>
          </c:val>
        </c:ser>
        <c:dLbls>
          <c:showLegendKey val="0"/>
          <c:showVal val="0"/>
          <c:showCatName val="0"/>
          <c:showSerName val="0"/>
          <c:showPercent val="0"/>
          <c:showBubbleSize val="0"/>
        </c:dLbls>
        <c:gapWidth val="150"/>
        <c:overlap val="100"/>
        <c:axId val="836326600"/>
        <c:axId val="836326992"/>
      </c:barChart>
      <c:catAx>
        <c:axId val="836326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836326992"/>
        <c:crosses val="autoZero"/>
        <c:auto val="1"/>
        <c:lblAlgn val="ctr"/>
        <c:lblOffset val="100"/>
        <c:noMultiLvlLbl val="0"/>
      </c:catAx>
      <c:valAx>
        <c:axId val="836326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836326600"/>
        <c:crosses val="autoZero"/>
        <c:crossBetween val="between"/>
      </c:valAx>
      <c:spPr>
        <a:noFill/>
        <a:ln>
          <a:noFill/>
        </a:ln>
        <a:effectLst/>
      </c:spPr>
    </c:plotArea>
    <c:legend>
      <c:legendPos val="b"/>
      <c:layout>
        <c:manualLayout>
          <c:xMode val="edge"/>
          <c:yMode val="edge"/>
          <c:x val="0.12794838145231899"/>
          <c:y val="0.91417572803399605"/>
          <c:w val="0.77651046223388698"/>
          <c:h val="6.20147481564804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960" b="1"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US" b="1"/>
              <a:t>Financial Aid Recipient</a:t>
            </a:r>
            <a:r>
              <a:rPr lang="en-US" b="1" baseline="0"/>
              <a:t> Status</a:t>
            </a:r>
          </a:p>
          <a:p>
            <a:pPr>
              <a:defRPr sz="960" b="1"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US" b="1" baseline="0"/>
              <a:t>2009-2010 to 2014-2015</a:t>
            </a:r>
            <a:endParaRPr lang="en-US" b="1"/>
          </a:p>
        </c:rich>
      </c:tx>
      <c:overlay val="0"/>
      <c:spPr>
        <a:noFill/>
        <a:ln>
          <a:noFill/>
        </a:ln>
        <a:effectLst/>
      </c:spPr>
    </c:title>
    <c:autoTitleDeleted val="0"/>
    <c:plotArea>
      <c:layout/>
      <c:barChart>
        <c:barDir val="col"/>
        <c:grouping val="percentStacked"/>
        <c:varyColors val="0"/>
        <c:ser>
          <c:idx val="0"/>
          <c:order val="0"/>
          <c:tx>
            <c:strRef>
              <c:f>Sheet1!$B$1</c:f>
              <c:strCache>
                <c:ptCount val="1"/>
                <c:pt idx="0">
                  <c:v>Received financial aid</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2009-2010      (N = 49,704)</c:v>
                </c:pt>
                <c:pt idx="1">
                  <c:v>2010-2011      (N = 46,591)</c:v>
                </c:pt>
                <c:pt idx="2">
                  <c:v>2011-2012      (N = 42,775)</c:v>
                </c:pt>
                <c:pt idx="3">
                  <c:v>2012-2013      (N = 42,037)</c:v>
                </c:pt>
                <c:pt idx="4">
                  <c:v>2013-2014      (N = 41,553)</c:v>
                </c:pt>
                <c:pt idx="5">
                  <c:v>2014-2015      (N = 42,756)</c:v>
                </c:pt>
              </c:strCache>
            </c:strRef>
          </c:cat>
          <c:val>
            <c:numRef>
              <c:f>Sheet1!$B$2:$B$7</c:f>
              <c:numCache>
                <c:formatCode>0.0%</c:formatCode>
                <c:ptCount val="6"/>
                <c:pt idx="0">
                  <c:v>0.32838403347819101</c:v>
                </c:pt>
                <c:pt idx="1">
                  <c:v>0.37792706745938098</c:v>
                </c:pt>
                <c:pt idx="2">
                  <c:v>0.44313267095265901</c:v>
                </c:pt>
                <c:pt idx="3">
                  <c:v>0.497276209053929</c:v>
                </c:pt>
                <c:pt idx="4">
                  <c:v>0.51993839193319402</c:v>
                </c:pt>
                <c:pt idx="5">
                  <c:v>0.51340162784170595</c:v>
                </c:pt>
              </c:numCache>
            </c:numRef>
          </c:val>
        </c:ser>
        <c:ser>
          <c:idx val="1"/>
          <c:order val="1"/>
          <c:tx>
            <c:strRef>
              <c:f>Sheet1!$C$1</c:f>
              <c:strCache>
                <c:ptCount val="1"/>
                <c:pt idx="0">
                  <c:v>Did not receive financial aid</c:v>
                </c:pt>
              </c:strCache>
            </c:strRef>
          </c:tx>
          <c:spPr>
            <a:solidFill>
              <a:schemeClr val="accent5"/>
            </a:solidFill>
            <a:ln>
              <a:noFill/>
            </a:ln>
            <a:effectLst/>
          </c:spPr>
          <c:invertIfNegative val="0"/>
          <c:dLbls>
            <c:dLbl>
              <c:idx val="1"/>
              <c:layout>
                <c:manualLayout>
                  <c:x val="0"/>
                  <c:y val="3.968253968253969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2009-2010      (N = 49,704)</c:v>
                </c:pt>
                <c:pt idx="1">
                  <c:v>2010-2011      (N = 46,591)</c:v>
                </c:pt>
                <c:pt idx="2">
                  <c:v>2011-2012      (N = 42,775)</c:v>
                </c:pt>
                <c:pt idx="3">
                  <c:v>2012-2013      (N = 42,037)</c:v>
                </c:pt>
                <c:pt idx="4">
                  <c:v>2013-2014      (N = 41,553)</c:v>
                </c:pt>
                <c:pt idx="5">
                  <c:v>2014-2015      (N = 42,756)</c:v>
                </c:pt>
              </c:strCache>
            </c:strRef>
          </c:cat>
          <c:val>
            <c:numRef>
              <c:f>Sheet1!$C$2:$C$7</c:f>
              <c:numCache>
                <c:formatCode>0.0%</c:formatCode>
                <c:ptCount val="6"/>
                <c:pt idx="0">
                  <c:v>0.67161596652180899</c:v>
                </c:pt>
                <c:pt idx="1">
                  <c:v>0.62207293254062002</c:v>
                </c:pt>
                <c:pt idx="2">
                  <c:v>0.55686732904734004</c:v>
                </c:pt>
                <c:pt idx="3">
                  <c:v>0.502723790946071</c:v>
                </c:pt>
                <c:pt idx="4">
                  <c:v>0.48006160806680598</c:v>
                </c:pt>
                <c:pt idx="5">
                  <c:v>0.48659837215829399</c:v>
                </c:pt>
              </c:numCache>
            </c:numRef>
          </c:val>
        </c:ser>
        <c:dLbls>
          <c:showLegendKey val="0"/>
          <c:showVal val="0"/>
          <c:showCatName val="0"/>
          <c:showSerName val="0"/>
          <c:showPercent val="0"/>
          <c:showBubbleSize val="0"/>
        </c:dLbls>
        <c:gapWidth val="150"/>
        <c:overlap val="100"/>
        <c:axId val="832930856"/>
        <c:axId val="832931640"/>
      </c:barChart>
      <c:catAx>
        <c:axId val="832930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832931640"/>
        <c:crosses val="autoZero"/>
        <c:auto val="1"/>
        <c:lblAlgn val="ctr"/>
        <c:lblOffset val="100"/>
        <c:noMultiLvlLbl val="0"/>
      </c:catAx>
      <c:valAx>
        <c:axId val="832931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832930856"/>
        <c:crosses val="autoZero"/>
        <c:crossBetween val="between"/>
      </c:valAx>
      <c:spPr>
        <a:noFill/>
        <a:ln>
          <a:noFill/>
        </a:ln>
        <a:effectLst/>
      </c:spPr>
    </c:plotArea>
    <c:legend>
      <c:legendPos val="b"/>
      <c:layout>
        <c:manualLayout>
          <c:xMode val="edge"/>
          <c:yMode val="edge"/>
          <c:x val="0.12794838145231899"/>
          <c:y val="0.91417572803399605"/>
          <c:w val="0.77651046223388698"/>
          <c:h val="6.20147481564804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960" b="1"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US" b="1"/>
              <a:t>First-Generation</a:t>
            </a:r>
            <a:r>
              <a:rPr lang="en-US" b="1" baseline="0"/>
              <a:t> College Status</a:t>
            </a:r>
          </a:p>
          <a:p>
            <a:pPr>
              <a:defRPr sz="960" b="1"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US" b="1" baseline="0"/>
              <a:t>2012-2014 to 2014-2015</a:t>
            </a:r>
            <a:endParaRPr lang="en-US" b="1"/>
          </a:p>
        </c:rich>
      </c:tx>
      <c:overlay val="0"/>
      <c:spPr>
        <a:noFill/>
        <a:ln>
          <a:noFill/>
        </a:ln>
        <a:effectLst/>
      </c:spPr>
    </c:title>
    <c:autoTitleDeleted val="0"/>
    <c:plotArea>
      <c:layout/>
      <c:barChart>
        <c:barDir val="col"/>
        <c:grouping val="percentStacked"/>
        <c:varyColors val="0"/>
        <c:ser>
          <c:idx val="0"/>
          <c:order val="0"/>
          <c:tx>
            <c:strRef>
              <c:f>Sheet1!$B$1</c:f>
              <c:strCache>
                <c:ptCount val="1"/>
                <c:pt idx="0">
                  <c:v>First-generation college</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2012-2013      (N = 42,037)</c:v>
                </c:pt>
                <c:pt idx="1">
                  <c:v>2013-2014      (N = 41,553)</c:v>
                </c:pt>
                <c:pt idx="2">
                  <c:v>2014-2015      (N = 42,756)</c:v>
                </c:pt>
              </c:strCache>
            </c:strRef>
          </c:cat>
          <c:val>
            <c:numRef>
              <c:f>Sheet1!$B$2:$B$4</c:f>
              <c:numCache>
                <c:formatCode>0.0%</c:formatCode>
                <c:ptCount val="3"/>
                <c:pt idx="0">
                  <c:v>0.495</c:v>
                </c:pt>
                <c:pt idx="1">
                  <c:v>0.503</c:v>
                </c:pt>
                <c:pt idx="2">
                  <c:v>0.50800000000000001</c:v>
                </c:pt>
              </c:numCache>
            </c:numRef>
          </c:val>
        </c:ser>
        <c:ser>
          <c:idx val="1"/>
          <c:order val="1"/>
          <c:tx>
            <c:strRef>
              <c:f>Sheet1!$C$1</c:f>
              <c:strCache>
                <c:ptCount val="1"/>
                <c:pt idx="0">
                  <c:v>Not first generation</c:v>
                </c:pt>
              </c:strCache>
            </c:strRef>
          </c:tx>
          <c:spPr>
            <a:solidFill>
              <a:schemeClr val="accent5"/>
            </a:solidFill>
            <a:ln>
              <a:noFill/>
            </a:ln>
            <a:effectLst/>
          </c:spPr>
          <c:invertIfNegative val="0"/>
          <c:dLbls>
            <c:dLbl>
              <c:idx val="1"/>
              <c:layout>
                <c:manualLayout>
                  <c:x val="0"/>
                  <c:y val="3.968253968253969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2012-2013      (N = 42,037)</c:v>
                </c:pt>
                <c:pt idx="1">
                  <c:v>2013-2014      (N = 41,553)</c:v>
                </c:pt>
                <c:pt idx="2">
                  <c:v>2014-2015      (N = 42,756)</c:v>
                </c:pt>
              </c:strCache>
            </c:strRef>
          </c:cat>
          <c:val>
            <c:numRef>
              <c:f>Sheet1!$C$2:$C$4</c:f>
              <c:numCache>
                <c:formatCode>0.0%</c:formatCode>
                <c:ptCount val="3"/>
                <c:pt idx="0">
                  <c:v>0.313</c:v>
                </c:pt>
                <c:pt idx="1">
                  <c:v>0.314</c:v>
                </c:pt>
                <c:pt idx="2">
                  <c:v>0.316</c:v>
                </c:pt>
              </c:numCache>
            </c:numRef>
          </c:val>
        </c:ser>
        <c:ser>
          <c:idx val="2"/>
          <c:order val="2"/>
          <c:tx>
            <c:strRef>
              <c:f>Sheet1!$D$1</c:f>
              <c:strCache>
                <c:ptCount val="1"/>
                <c:pt idx="0">
                  <c:v>Not reported</c:v>
                </c:pt>
              </c:strCache>
            </c:strRef>
          </c:tx>
          <c:spPr>
            <a:solidFill>
              <a:schemeClr val="accent5">
                <a:lumMod val="20000"/>
                <a:lumOff val="80000"/>
              </a:schemeClr>
            </a:solidFill>
            <a:ln>
              <a:solidFill>
                <a:schemeClr val="accent5"/>
              </a:solidFill>
            </a:ln>
            <a:effectLst/>
          </c:spPr>
          <c:invertIfNegative val="0"/>
          <c:dLbls>
            <c:dLbl>
              <c:idx val="1"/>
              <c:layout>
                <c:manualLayout>
                  <c:x val="0"/>
                  <c:y val="3.968253968253969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2012-2013      (N = 42,037)</c:v>
                </c:pt>
                <c:pt idx="1">
                  <c:v>2013-2014      (N = 41,553)</c:v>
                </c:pt>
                <c:pt idx="2">
                  <c:v>2014-2015      (N = 42,756)</c:v>
                </c:pt>
              </c:strCache>
            </c:strRef>
          </c:cat>
          <c:val>
            <c:numRef>
              <c:f>Sheet1!$D$2:$D$4</c:f>
              <c:numCache>
                <c:formatCode>0.0%</c:formatCode>
                <c:ptCount val="3"/>
                <c:pt idx="0">
                  <c:v>0.192</c:v>
                </c:pt>
                <c:pt idx="1">
                  <c:v>0.183</c:v>
                </c:pt>
                <c:pt idx="2">
                  <c:v>0.17599999999999999</c:v>
                </c:pt>
              </c:numCache>
            </c:numRef>
          </c:val>
        </c:ser>
        <c:dLbls>
          <c:showLegendKey val="0"/>
          <c:showVal val="0"/>
          <c:showCatName val="0"/>
          <c:showSerName val="0"/>
          <c:showPercent val="0"/>
          <c:showBubbleSize val="0"/>
        </c:dLbls>
        <c:gapWidth val="150"/>
        <c:overlap val="100"/>
        <c:axId val="770006344"/>
        <c:axId val="927477648"/>
      </c:barChart>
      <c:catAx>
        <c:axId val="770006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27477648"/>
        <c:crosses val="autoZero"/>
        <c:auto val="1"/>
        <c:lblAlgn val="ctr"/>
        <c:lblOffset val="100"/>
        <c:noMultiLvlLbl val="0"/>
      </c:catAx>
      <c:valAx>
        <c:axId val="927477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770006344"/>
        <c:crosses val="autoZero"/>
        <c:crossBetween val="between"/>
      </c:valAx>
      <c:spPr>
        <a:noFill/>
        <a:ln>
          <a:noFill/>
        </a:ln>
        <a:effectLst/>
      </c:spPr>
    </c:plotArea>
    <c:legend>
      <c:legendPos val="b"/>
      <c:layout>
        <c:manualLayout>
          <c:xMode val="edge"/>
          <c:yMode val="edge"/>
          <c:x val="0.12794838145231899"/>
          <c:y val="0.91417572803399605"/>
          <c:w val="0.77651046223388698"/>
          <c:h val="6.20147481564804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US" b="1"/>
              <a:t>Enrollment</a:t>
            </a:r>
            <a:r>
              <a:rPr lang="en-US" b="1" baseline="0"/>
              <a:t> Status</a:t>
            </a:r>
            <a:endParaRPr lang="en-US" b="1"/>
          </a:p>
          <a:p>
            <a:pPr>
              <a:defRPr sz="960" b="0"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US" b="1"/>
              <a:t>2009-2010 vs. 2014-2015</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2009-2010</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First-time Freshmen</c:v>
                </c:pt>
                <c:pt idx="1">
                  <c:v>First-time Transfer</c:v>
                </c:pt>
                <c:pt idx="2">
                  <c:v>Returning</c:v>
                </c:pt>
                <c:pt idx="3">
                  <c:v>Continuing</c:v>
                </c:pt>
                <c:pt idx="4">
                  <c:v>Special Admit/Other</c:v>
                </c:pt>
              </c:strCache>
            </c:strRef>
          </c:cat>
          <c:val>
            <c:numRef>
              <c:f>Sheet1!$B$2:$B$6</c:f>
              <c:numCache>
                <c:formatCode>0.0%</c:formatCode>
                <c:ptCount val="5"/>
                <c:pt idx="0">
                  <c:v>0.189</c:v>
                </c:pt>
                <c:pt idx="1">
                  <c:v>0.24199999999999999</c:v>
                </c:pt>
                <c:pt idx="2">
                  <c:v>0.17799999999999999</c:v>
                </c:pt>
                <c:pt idx="3">
                  <c:v>0.36299999999999999</c:v>
                </c:pt>
                <c:pt idx="4">
                  <c:v>2.8000000000000001E-2</c:v>
                </c:pt>
              </c:numCache>
            </c:numRef>
          </c:val>
        </c:ser>
        <c:ser>
          <c:idx val="1"/>
          <c:order val="1"/>
          <c:tx>
            <c:strRef>
              <c:f>Sheet1!$C$1</c:f>
              <c:strCache>
                <c:ptCount val="1"/>
                <c:pt idx="0">
                  <c:v>2014-2015</c:v>
                </c:pt>
              </c:strCache>
            </c:strRef>
          </c:tx>
          <c:spPr>
            <a:solidFill>
              <a:schemeClr val="accent5">
                <a:tint val="77000"/>
              </a:schemeClr>
            </a:solidFill>
            <a:ln>
              <a:noFill/>
            </a:ln>
            <a:effectLst/>
          </c:spPr>
          <c:invertIfNegative val="0"/>
          <c:dLbls>
            <c:dLbl>
              <c:idx val="1"/>
              <c:layout>
                <c:manualLayout>
                  <c:x val="6.9260071568740603E-3"/>
                  <c:y val="-7.9570840050125505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First-time Freshmen</c:v>
                </c:pt>
                <c:pt idx="1">
                  <c:v>First-time Transfer</c:v>
                </c:pt>
                <c:pt idx="2">
                  <c:v>Returning</c:v>
                </c:pt>
                <c:pt idx="3">
                  <c:v>Continuing</c:v>
                </c:pt>
                <c:pt idx="4">
                  <c:v>Special Admit/Other</c:v>
                </c:pt>
              </c:strCache>
            </c:strRef>
          </c:cat>
          <c:val>
            <c:numRef>
              <c:f>Sheet1!$C$2:$C$6</c:f>
              <c:numCache>
                <c:formatCode>0.0%</c:formatCode>
                <c:ptCount val="5"/>
                <c:pt idx="0">
                  <c:v>0.18</c:v>
                </c:pt>
                <c:pt idx="1">
                  <c:v>0.186</c:v>
                </c:pt>
                <c:pt idx="2">
                  <c:v>0.16500000000000001</c:v>
                </c:pt>
                <c:pt idx="3">
                  <c:v>0.44600000000000001</c:v>
                </c:pt>
                <c:pt idx="4">
                  <c:v>2.3E-2</c:v>
                </c:pt>
              </c:numCache>
            </c:numRef>
          </c:val>
        </c:ser>
        <c:dLbls>
          <c:showLegendKey val="0"/>
          <c:showVal val="0"/>
          <c:showCatName val="0"/>
          <c:showSerName val="0"/>
          <c:showPercent val="0"/>
          <c:showBubbleSize val="0"/>
        </c:dLbls>
        <c:gapWidth val="219"/>
        <c:overlap val="-27"/>
        <c:axId val="927481568"/>
        <c:axId val="927484312"/>
      </c:barChart>
      <c:catAx>
        <c:axId val="92748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27484312"/>
        <c:crosses val="autoZero"/>
        <c:auto val="1"/>
        <c:lblAlgn val="ctr"/>
        <c:lblOffset val="100"/>
        <c:noMultiLvlLbl val="0"/>
      </c:catAx>
      <c:valAx>
        <c:axId val="927484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27481568"/>
        <c:crosses val="autoZero"/>
        <c:crossBetween val="between"/>
      </c:valAx>
      <c:spPr>
        <a:noFill/>
        <a:ln>
          <a:noFill/>
        </a:ln>
        <a:effectLst/>
      </c:spPr>
    </c:plotArea>
    <c:legend>
      <c:legendPos val="b"/>
      <c:layout>
        <c:manualLayout>
          <c:xMode val="edge"/>
          <c:yMode val="edge"/>
          <c:x val="0.20984311048617499"/>
          <c:y val="0.90612970253718295"/>
          <c:w val="0.58723960439956002"/>
          <c:h val="6.7828630796150494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CB7DD38ABCA8B47BA4ACD56E0C8FA56" ma:contentTypeVersion="1" ma:contentTypeDescription="Create a new document." ma:contentTypeScope="" ma:versionID="aad641c207039fe3d4f63af0345747ca">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587375-5CDE-4E0D-BF6C-2B7138649327}"/>
</file>

<file path=customXml/itemProps2.xml><?xml version="1.0" encoding="utf-8"?>
<ds:datastoreItem xmlns:ds="http://schemas.openxmlformats.org/officeDocument/2006/customXml" ds:itemID="{2528F69E-8A38-4EFA-8ED5-002D457A1D5F}"/>
</file>

<file path=customXml/itemProps3.xml><?xml version="1.0" encoding="utf-8"?>
<ds:datastoreItem xmlns:ds="http://schemas.openxmlformats.org/officeDocument/2006/customXml" ds:itemID="{574ADF63-52CC-468C-9E9C-2422DD380A78}"/>
</file>

<file path=customXml/itemProps4.xml><?xml version="1.0" encoding="utf-8"?>
<ds:datastoreItem xmlns:ds="http://schemas.openxmlformats.org/officeDocument/2006/customXml" ds:itemID="{A37BDFFA-D2BE-4B66-A53B-92CD46601FA3}"/>
</file>

<file path=docProps/app.xml><?xml version="1.0" encoding="utf-8"?>
<Properties xmlns="http://schemas.openxmlformats.org/officeDocument/2006/extended-properties" xmlns:vt="http://schemas.openxmlformats.org/officeDocument/2006/docPropsVTypes">
  <Template>Normal.dotm</Template>
  <TotalTime>44</TotalTime>
  <Pages>66</Pages>
  <Words>17322</Words>
  <Characters>98742</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Santa Monica College</Company>
  <LinksUpToDate>false</LinksUpToDate>
  <CharactersWithSpaces>115833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Santa Monica College</dc:creator>
  <cp:lastModifiedBy>ROJAS_DAN</cp:lastModifiedBy>
  <cp:revision>6</cp:revision>
  <cp:lastPrinted>2016-07-22T18:23:00Z</cp:lastPrinted>
  <dcterms:created xsi:type="dcterms:W3CDTF">2016-07-22T17:36:00Z</dcterms:created>
  <dcterms:modified xsi:type="dcterms:W3CDTF">2016-08-25T03:37:00Z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0x010100FCB7DD38ABCA8B47BA4ACD56E0C8FA56</vt:lpwstr>
  </property>
</Properties>
</file>